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780" w:firstLine="0" w:firstLineChars="0"/>
        <w:jc w:val="right"/>
      </w:pPr>
    </w:p>
    <w:p>
      <w:pPr>
        <w:jc w:val="center"/>
        <w:rPr>
          <w:b/>
          <w:sz w:val="28"/>
        </w:rPr>
      </w:pPr>
    </w:p>
    <w:p>
      <w:pPr>
        <w:jc w:val="center"/>
        <w:rPr>
          <w:b/>
          <w:sz w:val="28"/>
        </w:rPr>
      </w:pPr>
    </w:p>
    <w:p>
      <w:pPr>
        <w:jc w:val="center"/>
        <w:rPr>
          <w:rFonts w:hint="default"/>
          <w:b/>
          <w:sz w:val="28"/>
          <w:lang w:val="en-US"/>
        </w:rPr>
      </w:pPr>
      <w:r>
        <w:rPr>
          <w:rFonts w:hint="eastAsia"/>
          <w:b/>
          <w:sz w:val="48"/>
          <w:szCs w:val="48"/>
          <w:lang w:val="en-US" w:eastAsia="zh-CN"/>
        </w:rPr>
        <w:t>桑达科技大厦10楼1001装修工程</w:t>
      </w:r>
    </w:p>
    <w:p>
      <w:pPr>
        <w:jc w:val="center"/>
        <w:rPr>
          <w:b/>
          <w:sz w:val="48"/>
          <w:szCs w:val="48"/>
        </w:rPr>
      </w:pPr>
    </w:p>
    <w:p>
      <w:pPr>
        <w:jc w:val="center"/>
        <w:rPr>
          <w:b/>
          <w:sz w:val="48"/>
          <w:szCs w:val="48"/>
        </w:rPr>
      </w:pPr>
      <w:r>
        <w:rPr>
          <w:b/>
          <w:sz w:val="48"/>
          <w:szCs w:val="48"/>
        </w:rPr>
        <w:t>招标文件</w:t>
      </w: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rPr>
          <w:b/>
          <w:sz w:val="32"/>
        </w:rPr>
      </w:pPr>
    </w:p>
    <w:p>
      <w:pPr>
        <w:ind w:firstLine="1084" w:firstLineChars="300"/>
        <w:rPr>
          <w:rFonts w:ascii="仿宋_GB2312" w:eastAsia="仿宋_GB2312"/>
          <w:sz w:val="36"/>
          <w:szCs w:val="36"/>
          <w:u w:val="single"/>
        </w:rPr>
      </w:pPr>
      <w:r>
        <w:rPr>
          <w:rFonts w:hint="eastAsia" w:ascii="仿宋_GB2312" w:eastAsia="仿宋_GB2312"/>
          <w:b/>
          <w:sz w:val="36"/>
          <w:szCs w:val="36"/>
        </w:rPr>
        <w:t>项目名称：</w:t>
      </w:r>
      <w:r>
        <w:rPr>
          <w:rFonts w:ascii="仿宋_GB2312" w:eastAsia="仿宋_GB2312"/>
          <w:sz w:val="36"/>
          <w:szCs w:val="36"/>
          <w:u w:val="single"/>
        </w:rPr>
        <w:t xml:space="preserve"> </w:t>
      </w:r>
      <w:r>
        <w:rPr>
          <w:rFonts w:hint="eastAsia" w:ascii="仿宋_GB2312" w:eastAsia="仿宋_GB2312"/>
          <w:sz w:val="32"/>
          <w:szCs w:val="32"/>
          <w:u w:val="single"/>
          <w:lang w:val="en-US" w:eastAsia="zh-CN"/>
        </w:rPr>
        <w:t>桑达科技大厦10楼1001装修工程</w:t>
      </w:r>
      <w:r>
        <w:rPr>
          <w:rFonts w:ascii="仿宋_GB2312" w:eastAsia="仿宋_GB2312"/>
          <w:sz w:val="36"/>
          <w:szCs w:val="36"/>
          <w:u w:val="single"/>
        </w:rPr>
        <w:t xml:space="preserve">  </w:t>
      </w:r>
    </w:p>
    <w:p>
      <w:pPr>
        <w:ind w:firstLine="1084" w:firstLineChars="300"/>
        <w:rPr>
          <w:rFonts w:ascii="仿宋_GB2312" w:eastAsia="仿宋_GB2312"/>
          <w:sz w:val="40"/>
          <w:szCs w:val="40"/>
          <w:u w:val="single"/>
        </w:rPr>
      </w:pPr>
      <w:r>
        <w:rPr>
          <w:rFonts w:hint="eastAsia" w:ascii="仿宋_GB2312" w:eastAsia="仿宋_GB2312"/>
          <w:b/>
          <w:sz w:val="36"/>
          <w:szCs w:val="36"/>
        </w:rPr>
        <w:t>招 标 人：</w:t>
      </w:r>
      <w:r>
        <w:rPr>
          <w:rFonts w:hint="eastAsia" w:ascii="仿宋_GB2312" w:eastAsia="仿宋_GB2312"/>
          <w:sz w:val="40"/>
          <w:szCs w:val="40"/>
          <w:u w:val="single"/>
        </w:rPr>
        <w:t xml:space="preserve"> </w:t>
      </w:r>
      <w:r>
        <w:rPr>
          <w:rFonts w:hint="eastAsia" w:ascii="仿宋_GB2312" w:eastAsia="仿宋_GB2312"/>
          <w:sz w:val="32"/>
          <w:szCs w:val="32"/>
          <w:u w:val="single"/>
          <w:lang w:val="en-US" w:eastAsia="zh-CN"/>
        </w:rPr>
        <w:t>深圳市半导体行业协会</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ascii="仿宋_GB2312" w:eastAsia="仿宋_GB2312"/>
          <w:sz w:val="40"/>
          <w:szCs w:val="40"/>
          <w:u w:val="single"/>
        </w:rPr>
        <w:t xml:space="preserve"> </w:t>
      </w:r>
    </w:p>
    <w:p>
      <w:pPr>
        <w:adjustRightInd w:val="0"/>
        <w:snapToGrid w:val="0"/>
        <w:spacing w:line="560" w:lineRule="exact"/>
        <w:ind w:firstLine="640" w:firstLineChars="200"/>
        <w:jc w:val="both"/>
        <w:rPr>
          <w:rFonts w:hint="eastAsia" w:ascii="仿宋" w:hAnsi="仿宋" w:eastAsia="仿宋" w:cstheme="minorBidi"/>
          <w:kern w:val="2"/>
          <w:sz w:val="32"/>
          <w:szCs w:val="32"/>
          <w:u w:val="none"/>
          <w:lang w:val="en-US" w:eastAsia="zh-CN" w:bidi="ar-SA"/>
        </w:rPr>
      </w:pPr>
    </w:p>
    <w:p>
      <w:pPr>
        <w:adjustRightInd w:val="0"/>
        <w:snapToGrid w:val="0"/>
        <w:spacing w:line="560" w:lineRule="exact"/>
        <w:ind w:firstLine="640" w:firstLineChars="200"/>
        <w:jc w:val="both"/>
        <w:rPr>
          <w:rFonts w:hint="eastAsia" w:ascii="仿宋" w:hAnsi="仿宋" w:eastAsia="仿宋" w:cstheme="minorBidi"/>
          <w:kern w:val="2"/>
          <w:sz w:val="32"/>
          <w:szCs w:val="32"/>
          <w:u w:val="none"/>
          <w:lang w:val="en-US" w:eastAsia="zh-CN" w:bidi="ar-SA"/>
        </w:rPr>
      </w:pPr>
    </w:p>
    <w:p>
      <w:pPr>
        <w:adjustRightInd w:val="0"/>
        <w:snapToGrid w:val="0"/>
        <w:spacing w:line="560" w:lineRule="exact"/>
        <w:jc w:val="both"/>
        <w:rPr>
          <w:rFonts w:hint="eastAsia" w:ascii="仿宋" w:hAnsi="仿宋" w:eastAsia="仿宋" w:cstheme="minorBidi"/>
          <w:kern w:val="2"/>
          <w:sz w:val="32"/>
          <w:szCs w:val="32"/>
          <w:u w:val="none"/>
          <w:lang w:val="en-US" w:eastAsia="zh-CN" w:bidi="ar-SA"/>
        </w:rPr>
      </w:pPr>
    </w:p>
    <w:p>
      <w:pPr>
        <w:adjustRightInd w:val="0"/>
        <w:snapToGrid w:val="0"/>
        <w:spacing w:line="560" w:lineRule="exact"/>
        <w:jc w:val="both"/>
        <w:rPr>
          <w:rFonts w:hint="eastAsia" w:ascii="仿宋" w:hAnsi="仿宋" w:eastAsia="仿宋" w:cstheme="minorBidi"/>
          <w:kern w:val="2"/>
          <w:sz w:val="32"/>
          <w:szCs w:val="32"/>
          <w:u w:val="none"/>
          <w:lang w:val="en-US" w:eastAsia="zh-CN" w:bidi="ar-SA"/>
        </w:rPr>
      </w:pPr>
    </w:p>
    <w:p>
      <w:pPr>
        <w:adjustRightInd w:val="0"/>
        <w:snapToGrid w:val="0"/>
        <w:spacing w:line="560" w:lineRule="exact"/>
        <w:ind w:firstLine="640" w:firstLineChars="200"/>
        <w:jc w:val="both"/>
        <w:rPr>
          <w:rFonts w:ascii="仿宋" w:hAnsi="仿宋" w:eastAsia="仿宋"/>
          <w:sz w:val="32"/>
          <w:szCs w:val="32"/>
        </w:rPr>
      </w:pPr>
      <w:r>
        <w:rPr>
          <w:rFonts w:hint="eastAsia" w:ascii="仿宋" w:hAnsi="仿宋" w:eastAsia="仿宋" w:cstheme="minorBidi"/>
          <w:kern w:val="2"/>
          <w:sz w:val="32"/>
          <w:szCs w:val="32"/>
          <w:u w:val="none"/>
          <w:lang w:val="en-US" w:eastAsia="zh-CN" w:bidi="ar-SA"/>
        </w:rPr>
        <w:t>桑达科技大厦10楼1001</w:t>
      </w:r>
      <w:r>
        <w:rPr>
          <w:rFonts w:ascii="仿宋" w:hAnsi="仿宋" w:eastAsia="仿宋"/>
          <w:sz w:val="32"/>
          <w:szCs w:val="32"/>
        </w:rPr>
        <w:t>装修工程，需要进行公开招标，</w:t>
      </w:r>
      <w:r>
        <w:rPr>
          <w:rFonts w:hint="eastAsia" w:ascii="仿宋" w:hAnsi="仿宋" w:eastAsia="仿宋"/>
          <w:sz w:val="32"/>
          <w:szCs w:val="32"/>
        </w:rPr>
        <w:t>以实现</w:t>
      </w:r>
      <w:r>
        <w:rPr>
          <w:rFonts w:hint="eastAsia" w:ascii="仿宋" w:hAnsi="仿宋" w:eastAsia="仿宋"/>
          <w:sz w:val="32"/>
          <w:szCs w:val="32"/>
          <w:u w:val="none"/>
          <w:lang w:val="en-US" w:eastAsia="zh-CN"/>
        </w:rPr>
        <w:t>入驻办公需要，</w:t>
      </w:r>
      <w:r>
        <w:rPr>
          <w:rFonts w:ascii="仿宋" w:hAnsi="仿宋" w:eastAsia="仿宋"/>
          <w:sz w:val="32"/>
          <w:szCs w:val="32"/>
        </w:rPr>
        <w:t>现将招标内容公布如下：</w:t>
      </w:r>
    </w:p>
    <w:p>
      <w:pPr>
        <w:adjustRightInd w:val="0"/>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项目说明：</w:t>
      </w:r>
    </w:p>
    <w:p>
      <w:pPr>
        <w:pStyle w:val="15"/>
        <w:numPr>
          <w:ilvl w:val="0"/>
          <w:numId w:val="0"/>
        </w:numPr>
        <w:tabs>
          <w:tab w:val="left" w:pos="1134"/>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本项目预算控制金额为</w:t>
      </w:r>
      <w:r>
        <w:rPr>
          <w:rFonts w:ascii="仿宋" w:hAnsi="仿宋" w:eastAsia="仿宋"/>
          <w:sz w:val="32"/>
          <w:szCs w:val="32"/>
          <w:u w:val="single"/>
        </w:rPr>
        <w:t xml:space="preserve"> </w:t>
      </w:r>
      <w:r>
        <w:rPr>
          <w:rFonts w:hint="eastAsia" w:ascii="仿宋" w:hAnsi="仿宋" w:eastAsia="仿宋"/>
          <w:sz w:val="32"/>
          <w:szCs w:val="32"/>
          <w:u w:val="single"/>
          <w:lang w:val="en-US" w:eastAsia="zh-CN"/>
        </w:rPr>
        <w:t>500</w:t>
      </w:r>
      <w:r>
        <w:rPr>
          <w:rFonts w:ascii="仿宋" w:hAnsi="仿宋" w:eastAsia="仿宋"/>
          <w:sz w:val="32"/>
          <w:szCs w:val="32"/>
          <w:u w:val="single"/>
        </w:rPr>
        <w:t xml:space="preserve"> </w:t>
      </w:r>
      <w:r>
        <w:rPr>
          <w:rFonts w:hint="eastAsia" w:ascii="仿宋" w:hAnsi="仿宋" w:eastAsia="仿宋"/>
          <w:sz w:val="32"/>
          <w:szCs w:val="32"/>
          <w:u w:val="none"/>
          <w:lang w:val="en-US" w:eastAsia="zh-CN"/>
        </w:rPr>
        <w:t>万</w:t>
      </w:r>
      <w:r>
        <w:rPr>
          <w:rFonts w:ascii="仿宋" w:hAnsi="仿宋" w:eastAsia="仿宋"/>
          <w:sz w:val="32"/>
          <w:szCs w:val="32"/>
        </w:rPr>
        <w:t>元以内，所有税费、</w:t>
      </w:r>
      <w:r>
        <w:rPr>
          <w:rFonts w:hint="eastAsia" w:ascii="仿宋" w:hAnsi="仿宋" w:eastAsia="仿宋"/>
          <w:sz w:val="32"/>
          <w:szCs w:val="32"/>
        </w:rPr>
        <w:t>人工、物料、</w:t>
      </w:r>
      <w:r>
        <w:rPr>
          <w:rFonts w:ascii="仿宋" w:hAnsi="仿宋" w:eastAsia="仿宋"/>
          <w:sz w:val="32"/>
          <w:szCs w:val="32"/>
        </w:rPr>
        <w:t>运输、垃圾清运、保险及管理等费用均应包含在投标报价中。投标人应根据本机构的成本和工程自行决定报价，但不得高于项目控制总金额；</w:t>
      </w:r>
    </w:p>
    <w:p>
      <w:pPr>
        <w:pStyle w:val="15"/>
        <w:numPr>
          <w:ilvl w:val="0"/>
          <w:numId w:val="0"/>
        </w:numPr>
        <w:tabs>
          <w:tab w:val="left" w:pos="1134"/>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项目实施地点：</w:t>
      </w:r>
      <w:r>
        <w:rPr>
          <w:rFonts w:ascii="仿宋" w:hAnsi="仿宋" w:eastAsia="仿宋"/>
          <w:sz w:val="32"/>
          <w:szCs w:val="32"/>
          <w:u w:val="single"/>
        </w:rPr>
        <w:t xml:space="preserve"> </w:t>
      </w:r>
      <w:r>
        <w:rPr>
          <w:rFonts w:hint="eastAsia" w:ascii="仿宋" w:hAnsi="仿宋" w:eastAsia="仿宋"/>
          <w:sz w:val="32"/>
          <w:szCs w:val="32"/>
          <w:u w:val="single"/>
          <w:lang w:val="en-US" w:eastAsia="zh-CN"/>
        </w:rPr>
        <w:t>桑达科技大厦1栋10楼1001</w:t>
      </w:r>
      <w:r>
        <w:rPr>
          <w:rFonts w:ascii="仿宋" w:hAnsi="仿宋" w:eastAsia="仿宋"/>
          <w:sz w:val="32"/>
          <w:szCs w:val="32"/>
          <w:u w:val="single"/>
        </w:rPr>
        <w:t xml:space="preserve">   </w:t>
      </w:r>
    </w:p>
    <w:p>
      <w:pPr>
        <w:pStyle w:val="15"/>
        <w:numPr>
          <w:ilvl w:val="0"/>
          <w:numId w:val="0"/>
        </w:numPr>
        <w:tabs>
          <w:tab w:val="left" w:pos="1134"/>
        </w:tabs>
        <w:adjustRightInd w:val="0"/>
        <w:snapToGrid w:val="0"/>
        <w:spacing w:line="560" w:lineRule="exact"/>
        <w:ind w:left="638" w:leftChars="304" w:firstLine="0" w:firstLineChars="0"/>
        <w:rPr>
          <w:rFonts w:ascii="仿宋" w:hAnsi="仿宋" w:eastAsia="仿宋"/>
        </w:rPr>
      </w:pPr>
      <w:r>
        <w:rPr>
          <w:rFonts w:hint="eastAsia" w:ascii="仿宋" w:hAnsi="仿宋" w:eastAsia="仿宋"/>
          <w:sz w:val="32"/>
          <w:szCs w:val="32"/>
          <w:lang w:val="en-US" w:eastAsia="zh-CN"/>
        </w:rPr>
        <w:t>3.</w:t>
      </w:r>
      <w:r>
        <w:rPr>
          <w:rFonts w:ascii="仿宋" w:hAnsi="仿宋" w:eastAsia="仿宋"/>
          <w:sz w:val="32"/>
          <w:szCs w:val="32"/>
        </w:rPr>
        <w:t>项目工期：</w:t>
      </w:r>
      <w:r>
        <w:rPr>
          <w:rFonts w:hint="eastAsia" w:ascii="仿宋" w:hAnsi="仿宋" w:eastAsia="仿宋"/>
          <w:sz w:val="32"/>
          <w:szCs w:val="32"/>
        </w:rPr>
        <w:t>从合同签订之日起</w:t>
      </w:r>
      <w:r>
        <w:rPr>
          <w:rFonts w:ascii="仿宋" w:hAnsi="仿宋" w:eastAsia="仿宋"/>
          <w:sz w:val="32"/>
          <w:szCs w:val="32"/>
        </w:rPr>
        <w:t>不超过</w:t>
      </w:r>
      <w:r>
        <w:rPr>
          <w:rFonts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ascii="仿宋" w:hAnsi="仿宋" w:eastAsia="仿宋"/>
          <w:sz w:val="32"/>
          <w:szCs w:val="32"/>
          <w:u w:val="single"/>
        </w:rPr>
        <w:t xml:space="preserve"> </w:t>
      </w:r>
      <w:r>
        <w:rPr>
          <w:rFonts w:ascii="仿宋" w:hAnsi="仿宋" w:eastAsia="仿宋"/>
          <w:sz w:val="32"/>
          <w:szCs w:val="32"/>
        </w:rPr>
        <w:t>天（含周末）。</w:t>
      </w:r>
      <w:r>
        <w:rPr>
          <w:rFonts w:hint="eastAsia" w:ascii="黑体" w:hAnsi="黑体" w:eastAsia="黑体" w:cs="黑体"/>
          <w:sz w:val="32"/>
          <w:szCs w:val="32"/>
          <w:lang w:val="en-US" w:eastAsia="zh-CN"/>
        </w:rPr>
        <w:t>二、</w:t>
      </w:r>
      <w:r>
        <w:rPr>
          <w:rFonts w:hint="eastAsia" w:ascii="黑体" w:hAnsi="黑体" w:eastAsia="黑体" w:cs="黑体"/>
          <w:sz w:val="32"/>
          <w:szCs w:val="32"/>
        </w:rPr>
        <w:t>装修基本要求：</w:t>
      </w:r>
    </w:p>
    <w:p>
      <w:pPr>
        <w:pStyle w:val="15"/>
        <w:tabs>
          <w:tab w:val="left" w:pos="1134"/>
        </w:tabs>
        <w:adjustRightInd w:val="0"/>
        <w:snapToGrid w:val="0"/>
        <w:spacing w:line="560" w:lineRule="exact"/>
        <w:ind w:left="85" w:firstLine="640"/>
        <w:rPr>
          <w:rFonts w:hint="eastAsia" w:ascii="仿宋" w:hAnsi="仿宋" w:eastAsia="仿宋"/>
          <w:sz w:val="32"/>
          <w:szCs w:val="32"/>
        </w:rPr>
      </w:pPr>
      <w:r>
        <w:rPr>
          <w:rFonts w:hint="eastAsia" w:ascii="仿宋" w:hAnsi="仿宋" w:eastAsia="仿宋"/>
          <w:sz w:val="32"/>
          <w:szCs w:val="32"/>
          <w:lang w:val="en-US" w:eastAsia="zh-CN"/>
        </w:rPr>
        <w:t>根据招标单位要求，</w:t>
      </w:r>
      <w:r>
        <w:rPr>
          <w:rFonts w:ascii="仿宋" w:hAnsi="仿宋" w:eastAsia="仿宋"/>
          <w:sz w:val="32"/>
          <w:szCs w:val="32"/>
        </w:rPr>
        <w:t>实现</w:t>
      </w:r>
      <w:r>
        <w:rPr>
          <w:rFonts w:hint="eastAsia" w:ascii="仿宋" w:hAnsi="仿宋" w:eastAsia="仿宋"/>
          <w:sz w:val="32"/>
          <w:szCs w:val="32"/>
          <w:lang w:val="en-US" w:eastAsia="zh-CN"/>
        </w:rPr>
        <w:t>场地整体的设计、装修、空调、消防改造、</w:t>
      </w:r>
      <w:r>
        <w:rPr>
          <w:rFonts w:ascii="仿宋" w:hAnsi="仿宋" w:eastAsia="仿宋"/>
          <w:sz w:val="32"/>
          <w:szCs w:val="32"/>
        </w:rPr>
        <w:t>强弱</w:t>
      </w:r>
      <w:r>
        <w:rPr>
          <w:rFonts w:hint="eastAsia" w:ascii="仿宋" w:hAnsi="仿宋" w:eastAsia="仿宋"/>
          <w:sz w:val="32"/>
          <w:szCs w:val="32"/>
          <w:lang w:eastAsia="zh-CN"/>
        </w:rPr>
        <w:t>、</w:t>
      </w:r>
      <w:r>
        <w:rPr>
          <w:rFonts w:hint="eastAsia" w:ascii="仿宋" w:hAnsi="仿宋" w:eastAsia="仿宋"/>
          <w:sz w:val="32"/>
          <w:szCs w:val="32"/>
          <w:lang w:val="en-US" w:eastAsia="zh-CN"/>
        </w:rPr>
        <w:t>强</w:t>
      </w:r>
      <w:r>
        <w:rPr>
          <w:rFonts w:ascii="仿宋" w:hAnsi="仿宋" w:eastAsia="仿宋"/>
          <w:sz w:val="32"/>
          <w:szCs w:val="32"/>
        </w:rPr>
        <w:t>电改造布线</w:t>
      </w:r>
      <w:r>
        <w:rPr>
          <w:rFonts w:hint="eastAsia" w:ascii="仿宋" w:hAnsi="仿宋" w:eastAsia="仿宋"/>
          <w:sz w:val="32"/>
          <w:szCs w:val="32"/>
        </w:rPr>
        <w:t>等。</w:t>
      </w:r>
    </w:p>
    <w:p>
      <w:pPr>
        <w:pStyle w:val="15"/>
        <w:tabs>
          <w:tab w:val="left" w:pos="1134"/>
        </w:tabs>
        <w:adjustRightInd w:val="0"/>
        <w:snapToGrid w:val="0"/>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工程内容：</w:t>
      </w:r>
    </w:p>
    <w:p>
      <w:pPr>
        <w:pStyle w:val="15"/>
        <w:numPr>
          <w:ilvl w:val="0"/>
          <w:numId w:val="0"/>
        </w:numPr>
        <w:tabs>
          <w:tab w:val="left" w:pos="1134"/>
        </w:tabs>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1.整体设计：包含场地的公共区、前台、办公室、会议室等平面设计和效果图展示；</w:t>
      </w:r>
    </w:p>
    <w:p>
      <w:pPr>
        <w:pStyle w:val="15"/>
        <w:numPr>
          <w:ilvl w:val="0"/>
          <w:numId w:val="0"/>
        </w:numPr>
        <w:tabs>
          <w:tab w:val="left" w:pos="1134"/>
        </w:tabs>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ascii="仿宋" w:hAnsi="仿宋" w:eastAsia="仿宋"/>
          <w:sz w:val="32"/>
          <w:szCs w:val="32"/>
        </w:rPr>
        <w:t>基础装修：包括拆除旧有房间的隔墙、门、天花及部分空调配套、设备、配件及线路；装修墙面</w:t>
      </w:r>
      <w:r>
        <w:rPr>
          <w:rFonts w:hint="eastAsia" w:ascii="仿宋" w:hAnsi="仿宋" w:eastAsia="仿宋"/>
          <w:sz w:val="32"/>
          <w:szCs w:val="32"/>
          <w:lang w:eastAsia="zh-CN"/>
        </w:rPr>
        <w:t>、</w:t>
      </w:r>
      <w:r>
        <w:rPr>
          <w:rFonts w:hint="eastAsia" w:ascii="仿宋" w:hAnsi="仿宋" w:eastAsia="仿宋"/>
          <w:sz w:val="32"/>
          <w:szCs w:val="32"/>
          <w:lang w:val="en-US" w:eastAsia="zh-CN"/>
        </w:rPr>
        <w:t>地面</w:t>
      </w:r>
      <w:r>
        <w:rPr>
          <w:rFonts w:ascii="仿宋" w:hAnsi="仿宋" w:eastAsia="仿宋"/>
          <w:sz w:val="32"/>
          <w:szCs w:val="32"/>
        </w:rPr>
        <w:t>和天花</w:t>
      </w:r>
      <w:r>
        <w:rPr>
          <w:rFonts w:hint="eastAsia" w:ascii="仿宋" w:hAnsi="仿宋" w:eastAsia="仿宋"/>
          <w:sz w:val="32"/>
          <w:szCs w:val="32"/>
          <w:lang w:eastAsia="zh-CN"/>
        </w:rPr>
        <w:t>；</w:t>
      </w:r>
      <w:r>
        <w:rPr>
          <w:rFonts w:ascii="仿宋" w:hAnsi="仿宋" w:eastAsia="仿宋"/>
          <w:sz w:val="32"/>
          <w:szCs w:val="32"/>
        </w:rPr>
        <w:t>加建隔墙、门、窗帘等；</w:t>
      </w:r>
      <w:r>
        <w:rPr>
          <w:rFonts w:hint="eastAsia" w:ascii="仿宋" w:hAnsi="仿宋" w:eastAsia="仿宋"/>
          <w:sz w:val="32"/>
          <w:szCs w:val="32"/>
          <w:lang w:val="en-US" w:eastAsia="zh-CN"/>
        </w:rPr>
        <w:t>改造空调配套</w:t>
      </w:r>
      <w:r>
        <w:rPr>
          <w:rFonts w:ascii="仿宋" w:hAnsi="仿宋" w:eastAsia="仿宋"/>
          <w:sz w:val="32"/>
          <w:szCs w:val="32"/>
        </w:rPr>
        <w:t>；</w:t>
      </w:r>
      <w:r>
        <w:rPr>
          <w:rFonts w:hint="eastAsia" w:ascii="仿宋" w:hAnsi="仿宋" w:eastAsia="仿宋"/>
          <w:sz w:val="32"/>
          <w:szCs w:val="32"/>
          <w:lang w:val="en-US" w:eastAsia="zh-CN"/>
        </w:rPr>
        <w:t>改造消防设施；</w:t>
      </w:r>
      <w:r>
        <w:rPr>
          <w:rFonts w:ascii="仿宋" w:hAnsi="仿宋" w:eastAsia="仿宋"/>
          <w:sz w:val="32"/>
          <w:szCs w:val="32"/>
        </w:rPr>
        <w:t>强</w:t>
      </w:r>
      <w:r>
        <w:rPr>
          <w:rFonts w:hint="eastAsia" w:ascii="仿宋" w:hAnsi="仿宋" w:eastAsia="仿宋"/>
          <w:sz w:val="32"/>
          <w:szCs w:val="32"/>
          <w:lang w:val="en-US" w:eastAsia="zh-CN"/>
        </w:rPr>
        <w:t>电、</w:t>
      </w:r>
      <w:r>
        <w:rPr>
          <w:rFonts w:ascii="仿宋" w:hAnsi="仿宋" w:eastAsia="仿宋"/>
          <w:sz w:val="32"/>
          <w:szCs w:val="32"/>
        </w:rPr>
        <w:t>弱电及网络端口配给等</w:t>
      </w:r>
      <w:r>
        <w:rPr>
          <w:rFonts w:hint="eastAsia" w:ascii="仿宋" w:hAnsi="仿宋" w:eastAsia="仿宋"/>
          <w:sz w:val="32"/>
          <w:szCs w:val="32"/>
        </w:rPr>
        <w:t>；</w:t>
      </w:r>
    </w:p>
    <w:p>
      <w:pPr>
        <w:pStyle w:val="15"/>
        <w:tabs>
          <w:tab w:val="left" w:pos="1134"/>
        </w:tabs>
        <w:adjustRightInd w:val="0"/>
        <w:snapToGrid w:val="0"/>
        <w:spacing w:line="560" w:lineRule="exact"/>
        <w:ind w:left="0" w:leftChars="0"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工程质量：</w:t>
      </w:r>
      <w:r>
        <w:rPr>
          <w:rFonts w:hint="eastAsia" w:ascii="仿宋" w:hAnsi="仿宋" w:eastAsia="仿宋"/>
          <w:sz w:val="32"/>
          <w:szCs w:val="32"/>
        </w:rPr>
        <w:t>达到国家现行验收标准；</w:t>
      </w:r>
    </w:p>
    <w:p>
      <w:pPr>
        <w:pStyle w:val="15"/>
        <w:tabs>
          <w:tab w:val="left" w:pos="1134"/>
        </w:tabs>
        <w:adjustRightInd w:val="0"/>
        <w:snapToGrid w:val="0"/>
        <w:spacing w:line="560" w:lineRule="exact"/>
        <w:ind w:left="0" w:leftChars="0" w:firstLine="640" w:firstLineChars="200"/>
        <w:rPr>
          <w:rFonts w:hint="eastAsia" w:ascii="仿宋" w:hAnsi="仿宋" w:eastAsia="仿宋" w:cs="仿宋"/>
          <w:sz w:val="32"/>
          <w:szCs w:val="32"/>
        </w:rPr>
      </w:pPr>
      <w:r>
        <w:rPr>
          <w:rFonts w:hint="eastAsia" w:ascii="仿宋" w:hAnsi="仿宋" w:eastAsia="仿宋"/>
          <w:sz w:val="32"/>
          <w:szCs w:val="32"/>
          <w:lang w:val="en-US" w:eastAsia="zh-CN"/>
        </w:rPr>
        <w:t>4</w:t>
      </w:r>
      <w:r>
        <w:rPr>
          <w:rFonts w:ascii="仿宋" w:hAnsi="仿宋" w:eastAsia="仿宋"/>
          <w:sz w:val="32"/>
          <w:szCs w:val="32"/>
        </w:rPr>
        <w:t>.保修维护：</w:t>
      </w:r>
      <w:r>
        <w:rPr>
          <w:rFonts w:hint="eastAsia" w:ascii="仿宋" w:hAnsi="仿宋" w:eastAsia="仿宋"/>
          <w:sz w:val="32"/>
          <w:szCs w:val="32"/>
        </w:rPr>
        <w:t>须对基础装修及特殊处理工程装修</w:t>
      </w:r>
      <w:r>
        <w:rPr>
          <w:rFonts w:ascii="仿宋" w:hAnsi="仿宋" w:eastAsia="仿宋"/>
          <w:sz w:val="32"/>
          <w:szCs w:val="32"/>
        </w:rPr>
        <w:t>保修服务1年以上，处理装修及因装修引起的问题须</w:t>
      </w:r>
      <w:r>
        <w:rPr>
          <w:rFonts w:hint="eastAsia" w:ascii="仿宋" w:hAnsi="仿宋" w:eastAsia="仿宋"/>
          <w:sz w:val="32"/>
          <w:szCs w:val="32"/>
        </w:rPr>
        <w:t>2</w:t>
      </w:r>
      <w:r>
        <w:rPr>
          <w:rFonts w:ascii="仿宋" w:hAnsi="仿宋" w:eastAsia="仿宋"/>
          <w:sz w:val="32"/>
          <w:szCs w:val="32"/>
        </w:rPr>
        <w:t>4</w:t>
      </w:r>
      <w:r>
        <w:rPr>
          <w:rFonts w:hint="eastAsia" w:ascii="仿宋" w:hAnsi="仿宋" w:eastAsia="仿宋"/>
          <w:sz w:val="32"/>
          <w:szCs w:val="32"/>
        </w:rPr>
        <w:t>小时内上门保</w:t>
      </w:r>
      <w:r>
        <w:rPr>
          <w:rFonts w:hint="eastAsia" w:ascii="仿宋" w:hAnsi="仿宋" w:eastAsia="仿宋" w:cs="仿宋"/>
          <w:sz w:val="32"/>
          <w:szCs w:val="32"/>
        </w:rPr>
        <w:t>修维护。</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项目工程清单</w:t>
      </w:r>
      <w:r>
        <w:rPr>
          <w:rFonts w:hint="eastAsia" w:ascii="仿宋_GB2312" w:eastAsia="仿宋_GB2312"/>
          <w:sz w:val="32"/>
          <w:szCs w:val="32"/>
          <w:lang w:eastAsia="zh-CN"/>
        </w:rPr>
        <w:t>：</w:t>
      </w:r>
    </w:p>
    <w:tbl>
      <w:tblPr>
        <w:tblStyle w:val="9"/>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047"/>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560" w:type="dxa"/>
            <w:gridSpan w:val="3"/>
            <w:vAlign w:val="center"/>
          </w:tcPr>
          <w:p>
            <w:pPr>
              <w:jc w:val="center"/>
              <w:rPr>
                <w:rFonts w:hint="eastAsia" w:ascii="仿宋_GB2312" w:eastAsia="仿宋_GB2312"/>
                <w:sz w:val="32"/>
                <w:szCs w:val="32"/>
                <w:vertAlign w:val="baseline"/>
              </w:rPr>
            </w:pPr>
            <w:r>
              <w:rPr>
                <w:rFonts w:hint="eastAsia" w:ascii="仿宋_GB2312" w:hAnsi="仿宋_GB2312" w:eastAsia="仿宋_GB2312" w:cs="仿宋_GB2312"/>
                <w:bCs/>
                <w:sz w:val="32"/>
                <w:szCs w:val="32"/>
                <w:lang w:val="en-US" w:eastAsia="zh-CN"/>
              </w:rPr>
              <w:t>桑达科技大厦10楼1001装修</w:t>
            </w:r>
            <w:r>
              <w:rPr>
                <w:rFonts w:hint="eastAsia" w:ascii="仿宋_GB2312" w:eastAsia="仿宋_GB2312"/>
                <w:bCs/>
                <w:sz w:val="32"/>
                <w:szCs w:val="32"/>
              </w:rPr>
              <w:t>项目工程清单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04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内容</w:t>
            </w:r>
          </w:p>
        </w:tc>
        <w:tc>
          <w:tcPr>
            <w:tcW w:w="436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50" w:type="dxa"/>
            <w:vAlign w:val="center"/>
          </w:tcPr>
          <w:p>
            <w:pPr>
              <w:jc w:val="center"/>
              <w:rPr>
                <w:rFonts w:hint="default" w:ascii="仿宋" w:hAnsi="仿宋" w:eastAsia="仿宋" w:cs="仿宋"/>
                <w:sz w:val="24"/>
                <w:szCs w:val="24"/>
                <w:vertAlign w:val="baseline"/>
                <w:lang w:val="en-US" w:eastAsia="zh-CN"/>
              </w:rPr>
            </w:pPr>
            <w:r>
              <w:rPr>
                <w:rFonts w:hint="eastAsia" w:ascii="宋体" w:hAnsi="宋体" w:eastAsia="宋体" w:cs="宋体"/>
                <w:sz w:val="21"/>
                <w:szCs w:val="21"/>
                <w:vertAlign w:val="baseline"/>
                <w:lang w:val="en-US" w:eastAsia="zh-CN"/>
              </w:rPr>
              <w:t>1</w:t>
            </w:r>
          </w:p>
        </w:tc>
        <w:tc>
          <w:tcPr>
            <w:tcW w:w="3047"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整体设计</w:t>
            </w:r>
          </w:p>
        </w:tc>
        <w:tc>
          <w:tcPr>
            <w:tcW w:w="4363" w:type="dxa"/>
            <w:vAlign w:val="center"/>
          </w:tcPr>
          <w:p>
            <w:pPr>
              <w:jc w:val="left"/>
              <w:rPr>
                <w:rFonts w:hint="default" w:ascii="仿宋" w:hAnsi="仿宋" w:eastAsia="仿宋" w:cs="仿宋"/>
                <w:sz w:val="24"/>
                <w:szCs w:val="24"/>
                <w:lang w:val="en-US" w:eastAsia="zh-CN"/>
              </w:rPr>
            </w:pPr>
            <w:r>
              <w:rPr>
                <w:rFonts w:hint="eastAsia" w:ascii="仿宋" w:hAnsi="仿宋" w:eastAsia="仿宋"/>
                <w:sz w:val="24"/>
                <w:szCs w:val="24"/>
                <w:lang w:val="en-US" w:eastAsia="zh-CN"/>
              </w:rPr>
              <w:t>包含场地的公共区、前台、办公室、会议室的平面、天花、墙面的设计和效果图展示。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1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047"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rPr>
              <w:t>拆除</w:t>
            </w:r>
            <w:r>
              <w:rPr>
                <w:rFonts w:hint="eastAsia" w:ascii="宋体" w:hAnsi="宋体" w:eastAsia="宋体" w:cs="宋体"/>
                <w:sz w:val="21"/>
                <w:szCs w:val="21"/>
                <w:lang w:val="en-US" w:eastAsia="zh-CN"/>
              </w:rPr>
              <w:t>现有装修</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包括天花、石膏板隔墙、玻璃隔墙以及地面地毯、地胶板，前台地砖和背景墙，窗台木装饰及原有管线的拆除、清理、外运运、人工等。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047"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rPr>
              <w:t>墙面</w:t>
            </w:r>
            <w:r>
              <w:rPr>
                <w:rFonts w:hint="eastAsia" w:ascii="宋体" w:hAnsi="宋体" w:eastAsia="宋体" w:cs="宋体"/>
                <w:sz w:val="21"/>
                <w:szCs w:val="21"/>
                <w:lang w:val="en-US" w:eastAsia="zh-CN"/>
              </w:rPr>
              <w:t>装修</w:t>
            </w:r>
            <w:r>
              <w:rPr>
                <w:rFonts w:hint="eastAsia" w:ascii="宋体" w:hAnsi="宋体" w:eastAsia="宋体" w:cs="宋体"/>
                <w:sz w:val="21"/>
                <w:szCs w:val="21"/>
              </w:rPr>
              <w:t>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包括石膏板隔墙、玻璃隔墙、墙面批腻子、刷乳胶漆，前台背景墙和地脚线等。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1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047"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rPr>
              <w:t>天花</w:t>
            </w:r>
            <w:r>
              <w:rPr>
                <w:rFonts w:hint="eastAsia" w:ascii="宋体" w:hAnsi="宋体" w:eastAsia="宋体" w:cs="宋体"/>
                <w:sz w:val="21"/>
                <w:szCs w:val="21"/>
                <w:lang w:val="en-US" w:eastAsia="zh-CN"/>
              </w:rPr>
              <w:t>装修</w:t>
            </w:r>
            <w:r>
              <w:rPr>
                <w:rFonts w:hint="eastAsia" w:ascii="宋体" w:hAnsi="宋体" w:eastAsia="宋体" w:cs="宋体"/>
                <w:sz w:val="21"/>
                <w:szCs w:val="21"/>
              </w:rPr>
              <w:t>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包括前台造型吊顶和过道格栅吊顶、办公区天花喷涂等。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047"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rPr>
              <w:t>地面</w:t>
            </w:r>
            <w:r>
              <w:rPr>
                <w:rFonts w:hint="eastAsia" w:ascii="宋体" w:hAnsi="宋体" w:eastAsia="宋体" w:cs="宋体"/>
                <w:sz w:val="21"/>
                <w:szCs w:val="21"/>
                <w:lang w:val="en-US" w:eastAsia="zh-CN"/>
              </w:rPr>
              <w:t>装修</w:t>
            </w:r>
            <w:r>
              <w:rPr>
                <w:rFonts w:hint="eastAsia" w:ascii="宋体" w:hAnsi="宋体" w:eastAsia="宋体" w:cs="宋体"/>
                <w:sz w:val="21"/>
                <w:szCs w:val="21"/>
              </w:rPr>
              <w:t>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包括过道和前台地面地砖和其它办公区域的地面地胶板、自流平施工部分。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047" w:type="dxa"/>
            <w:vAlign w:val="center"/>
          </w:tcPr>
          <w:p>
            <w:pPr>
              <w:jc w:val="left"/>
              <w:rPr>
                <w:rFonts w:hint="eastAsia" w:ascii="宋体" w:hAnsi="宋体" w:eastAsia="宋体" w:cs="宋体"/>
                <w:sz w:val="21"/>
                <w:szCs w:val="21"/>
                <w:vertAlign w:val="baseline"/>
              </w:rPr>
            </w:pPr>
            <w:r>
              <w:rPr>
                <w:rFonts w:hint="eastAsia" w:ascii="宋体" w:hAnsi="宋体" w:eastAsia="宋体" w:cs="宋体"/>
                <w:sz w:val="21"/>
                <w:szCs w:val="21"/>
              </w:rPr>
              <w:t>门窗</w:t>
            </w:r>
            <w:r>
              <w:rPr>
                <w:rFonts w:hint="eastAsia" w:ascii="宋体" w:hAnsi="宋体" w:eastAsia="宋体" w:cs="宋体"/>
                <w:sz w:val="21"/>
                <w:szCs w:val="21"/>
                <w:lang w:val="en-US" w:eastAsia="zh-CN"/>
              </w:rPr>
              <w:t>装修</w:t>
            </w:r>
            <w:r>
              <w:rPr>
                <w:rFonts w:hint="eastAsia" w:ascii="宋体" w:hAnsi="宋体" w:eastAsia="宋体" w:cs="宋体"/>
                <w:sz w:val="21"/>
                <w:szCs w:val="21"/>
              </w:rPr>
              <w:t>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包括每间公司平开玻璃门及边框、办公室木门及边框，窗帘、窗台石部分。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04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强电工程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包括每间公司配电箱，办公室内的电源插座及灯具电线和开关线，空调电源线等。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04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弱电工程</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包括每间公司网线和电话线铺设以及网线和电话线模块及面板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047" w:type="dxa"/>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消防及空调改造</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对场地的消防管道喷淋和烟感根据消防要求进行改造</w:t>
            </w:r>
          </w:p>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空调要根据装修格局和要求进行空调室内机和空调控制器及管道的改造。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047"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垃圾清运</w:t>
            </w:r>
          </w:p>
        </w:tc>
        <w:tc>
          <w:tcPr>
            <w:tcW w:w="4363" w:type="dxa"/>
            <w:vAlign w:val="center"/>
          </w:tcPr>
          <w:p>
            <w:pPr>
              <w:jc w:val="left"/>
              <w:rPr>
                <w:rFonts w:hint="eastAsia" w:ascii="仿宋" w:hAnsi="仿宋" w:eastAsia="仿宋"/>
                <w:sz w:val="24"/>
                <w:szCs w:val="24"/>
                <w:lang w:val="en-US" w:eastAsia="zh-CN"/>
              </w:rPr>
            </w:pPr>
            <w:r>
              <w:rPr>
                <w:rFonts w:hint="eastAsia" w:ascii="仿宋" w:hAnsi="仿宋" w:eastAsia="仿宋"/>
                <w:sz w:val="24"/>
                <w:szCs w:val="24"/>
                <w:lang w:val="en-US" w:eastAsia="zh-CN"/>
              </w:rPr>
              <w:t>装修所产生的建筑垃圾清运、人工等。</w:t>
            </w:r>
          </w:p>
        </w:tc>
      </w:tr>
    </w:tbl>
    <w:p>
      <w:pPr>
        <w:tabs>
          <w:tab w:val="left" w:pos="1134"/>
        </w:tabs>
        <w:adjustRightInd w:val="0"/>
        <w:snapToGrid w:val="0"/>
        <w:spacing w:line="400" w:lineRule="exact"/>
        <w:rPr>
          <w:rFonts w:hint="eastAsia" w:ascii="仿宋" w:hAnsi="仿宋" w:eastAsia="仿宋"/>
          <w:sz w:val="24"/>
          <w:szCs w:val="24"/>
        </w:rPr>
      </w:pPr>
      <w:r>
        <w:rPr>
          <w:rFonts w:ascii="仿宋" w:hAnsi="仿宋" w:eastAsia="仿宋"/>
          <w:sz w:val="24"/>
          <w:szCs w:val="24"/>
        </w:rPr>
        <w:t>注：1.</w:t>
      </w:r>
      <w:r>
        <w:rPr>
          <w:rFonts w:hint="eastAsia" w:ascii="仿宋" w:hAnsi="仿宋" w:eastAsia="仿宋"/>
          <w:sz w:val="24"/>
          <w:szCs w:val="24"/>
        </w:rPr>
        <w:t>以上表为本次装修须含项目，但不仅限于以上项目；2.要了解现场时需提前向投标方预约。</w:t>
      </w:r>
    </w:p>
    <w:p>
      <w:pPr>
        <w:tabs>
          <w:tab w:val="left" w:pos="1134"/>
        </w:tabs>
        <w:adjustRightInd w:val="0"/>
        <w:snapToGrid w:val="0"/>
        <w:spacing w:line="400" w:lineRule="exact"/>
        <w:rPr>
          <w:rFonts w:hint="eastAsia" w:ascii="黑体" w:hAnsi="黑体" w:eastAsia="黑体" w:cs="黑体"/>
          <w:sz w:val="32"/>
          <w:szCs w:val="32"/>
          <w:lang w:val="en-US" w:eastAsia="zh-CN"/>
        </w:rPr>
      </w:pPr>
    </w:p>
    <w:p>
      <w:pPr>
        <w:tabs>
          <w:tab w:val="left" w:pos="1134"/>
        </w:tabs>
        <w:adjustRightInd w:val="0"/>
        <w:snapToGrid w:val="0"/>
        <w:spacing w:line="4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对投标方的其他要求：</w:t>
      </w:r>
    </w:p>
    <w:p>
      <w:pPr>
        <w:pStyle w:val="15"/>
        <w:numPr>
          <w:ilvl w:val="1"/>
          <w:numId w:val="1"/>
        </w:numPr>
        <w:tabs>
          <w:tab w:val="left" w:pos="1050"/>
        </w:tabs>
        <w:adjustRightInd w:val="0"/>
        <w:snapToGrid w:val="0"/>
        <w:spacing w:line="560" w:lineRule="exact"/>
        <w:ind w:left="40" w:firstLine="688" w:firstLineChars="215"/>
        <w:rPr>
          <w:rFonts w:ascii="仿宋" w:hAnsi="仿宋" w:eastAsia="仿宋"/>
          <w:sz w:val="32"/>
          <w:szCs w:val="32"/>
        </w:rPr>
      </w:pPr>
      <w:r>
        <w:rPr>
          <w:rFonts w:hint="eastAsia" w:ascii="仿宋" w:hAnsi="仿宋" w:eastAsia="仿宋"/>
          <w:sz w:val="32"/>
          <w:szCs w:val="32"/>
        </w:rPr>
        <w:t>需为深注册，具有建筑装修施工二级以上</w:t>
      </w:r>
      <w:r>
        <w:rPr>
          <w:rFonts w:hint="eastAsia" w:ascii="仿宋" w:hAnsi="仿宋" w:eastAsia="仿宋"/>
          <w:sz w:val="32"/>
          <w:szCs w:val="32"/>
          <w:lang w:val="en-US" w:eastAsia="zh-CN"/>
        </w:rPr>
        <w:t>资质</w:t>
      </w:r>
      <w:bookmarkStart w:id="0" w:name="_GoBack"/>
      <w:bookmarkEnd w:id="0"/>
      <w:r>
        <w:rPr>
          <w:rFonts w:hint="eastAsia" w:ascii="仿宋" w:hAnsi="仿宋" w:eastAsia="仿宋"/>
          <w:sz w:val="32"/>
          <w:szCs w:val="32"/>
          <w:lang w:val="en-US" w:eastAsia="zh-CN"/>
        </w:rPr>
        <w:t>，</w:t>
      </w:r>
      <w:r>
        <w:rPr>
          <w:rFonts w:ascii="仿宋" w:hAnsi="仿宋" w:eastAsia="仿宋"/>
          <w:sz w:val="32"/>
          <w:szCs w:val="32"/>
        </w:rPr>
        <w:t>社会信誉良好的法人企业，需有</w:t>
      </w:r>
      <w:r>
        <w:rPr>
          <w:rFonts w:hint="eastAsia" w:ascii="仿宋" w:hAnsi="仿宋" w:eastAsia="仿宋"/>
          <w:sz w:val="32"/>
          <w:szCs w:val="32"/>
        </w:rPr>
        <w:t>安全生产许可证；</w:t>
      </w:r>
      <w:r>
        <w:rPr>
          <w:rFonts w:ascii="仿宋" w:hAnsi="仿宋" w:eastAsia="仿宋"/>
          <w:sz w:val="32"/>
          <w:szCs w:val="32"/>
        </w:rPr>
        <w:t>工程设计</w:t>
      </w:r>
      <w:r>
        <w:rPr>
          <w:rFonts w:hint="eastAsia" w:ascii="仿宋" w:hAnsi="仿宋" w:eastAsia="仿宋"/>
          <w:sz w:val="32"/>
          <w:szCs w:val="32"/>
          <w:lang w:val="en-US" w:eastAsia="zh-CN"/>
        </w:rPr>
        <w:t>可聘请有设计资质的公司设计</w:t>
      </w:r>
    </w:p>
    <w:p>
      <w:pPr>
        <w:pStyle w:val="15"/>
        <w:numPr>
          <w:ilvl w:val="1"/>
          <w:numId w:val="1"/>
        </w:numPr>
        <w:tabs>
          <w:tab w:val="left" w:pos="1050"/>
        </w:tabs>
        <w:adjustRightInd w:val="0"/>
        <w:snapToGrid w:val="0"/>
        <w:spacing w:line="560" w:lineRule="exact"/>
        <w:ind w:left="40" w:firstLine="688" w:firstLineChars="215"/>
        <w:rPr>
          <w:rFonts w:ascii="仿宋" w:hAnsi="仿宋" w:eastAsia="仿宋"/>
          <w:sz w:val="32"/>
          <w:szCs w:val="32"/>
        </w:rPr>
      </w:pPr>
      <w:r>
        <w:rPr>
          <w:rFonts w:ascii="仿宋" w:hAnsi="仿宋" w:eastAsia="仿宋"/>
          <w:sz w:val="32"/>
          <w:szCs w:val="32"/>
        </w:rPr>
        <w:t>工程必须由中标单位独立完成，不允许分包或转包</w:t>
      </w:r>
      <w:r>
        <w:rPr>
          <w:rFonts w:hint="eastAsia" w:ascii="仿宋" w:hAnsi="仿宋" w:eastAsia="仿宋"/>
          <w:sz w:val="32"/>
          <w:szCs w:val="32"/>
          <w:lang w:eastAsia="zh-CN"/>
        </w:rPr>
        <w:t>（</w:t>
      </w:r>
      <w:r>
        <w:rPr>
          <w:rFonts w:hint="eastAsia" w:ascii="仿宋" w:hAnsi="仿宋" w:eastAsia="仿宋"/>
          <w:sz w:val="32"/>
          <w:szCs w:val="32"/>
          <w:lang w:val="en-US" w:eastAsia="zh-CN"/>
        </w:rPr>
        <w:t>设计除外</w:t>
      </w:r>
      <w:r>
        <w:rPr>
          <w:rFonts w:hint="eastAsia" w:ascii="仿宋" w:hAnsi="仿宋" w:eastAsia="仿宋"/>
          <w:sz w:val="32"/>
          <w:szCs w:val="32"/>
          <w:lang w:eastAsia="zh-CN"/>
        </w:rPr>
        <w:t>）</w:t>
      </w:r>
      <w:r>
        <w:rPr>
          <w:rFonts w:ascii="仿宋" w:hAnsi="仿宋" w:eastAsia="仿宋"/>
          <w:sz w:val="32"/>
          <w:szCs w:val="32"/>
        </w:rPr>
        <w:t>；</w:t>
      </w:r>
    </w:p>
    <w:p>
      <w:pPr>
        <w:pStyle w:val="15"/>
        <w:numPr>
          <w:ilvl w:val="1"/>
          <w:numId w:val="1"/>
        </w:numPr>
        <w:tabs>
          <w:tab w:val="left" w:pos="1050"/>
        </w:tabs>
        <w:adjustRightInd w:val="0"/>
        <w:snapToGrid w:val="0"/>
        <w:spacing w:line="560" w:lineRule="exact"/>
        <w:ind w:left="40" w:firstLine="688" w:firstLineChars="215"/>
        <w:rPr>
          <w:rFonts w:ascii="仿宋" w:hAnsi="仿宋" w:eastAsia="仿宋"/>
          <w:sz w:val="32"/>
          <w:szCs w:val="32"/>
        </w:rPr>
      </w:pPr>
      <w:r>
        <w:rPr>
          <w:rFonts w:ascii="仿宋" w:hAnsi="仿宋" w:eastAsia="仿宋"/>
          <w:sz w:val="32"/>
          <w:szCs w:val="32"/>
        </w:rPr>
        <w:t>施工中产生的与门禁安装、调试相关的所有费用均由中标方承担；</w:t>
      </w:r>
    </w:p>
    <w:p>
      <w:pPr>
        <w:pStyle w:val="15"/>
        <w:numPr>
          <w:ilvl w:val="0"/>
          <w:numId w:val="0"/>
        </w:numPr>
        <w:tabs>
          <w:tab w:val="left" w:pos="1050"/>
        </w:tabs>
        <w:adjustRightInd w:val="0"/>
        <w:snapToGrid w:val="0"/>
        <w:spacing w:line="560" w:lineRule="exact"/>
        <w:ind w:firstLine="640" w:firstLineChars="200"/>
        <w:rPr>
          <w:rFonts w:ascii="仿宋" w:hAnsi="仿宋" w:eastAsia="仿宋"/>
        </w:rPr>
      </w:pPr>
      <w:r>
        <w:rPr>
          <w:rFonts w:hint="eastAsia" w:ascii="仿宋" w:hAnsi="仿宋" w:eastAsia="仿宋"/>
          <w:sz w:val="32"/>
          <w:szCs w:val="32"/>
          <w:lang w:val="en-US" w:eastAsia="zh-CN"/>
        </w:rPr>
        <w:t>4.</w:t>
      </w:r>
      <w:r>
        <w:rPr>
          <w:rFonts w:ascii="仿宋" w:hAnsi="仿宋" w:eastAsia="仿宋"/>
          <w:sz w:val="32"/>
          <w:szCs w:val="32"/>
        </w:rPr>
        <w:t>投标单位应充分考虑了各种外部因素对报价的影响，中标后，必须履行招标文件及投标资料中的一切承诺和</w:t>
      </w:r>
      <w:r>
        <w:rPr>
          <w:rFonts w:hint="eastAsia" w:ascii="仿宋" w:hAnsi="仿宋" w:eastAsia="仿宋"/>
          <w:sz w:val="32"/>
          <w:szCs w:val="32"/>
          <w:lang w:val="en-US" w:eastAsia="zh-CN"/>
        </w:rPr>
        <w:t>责任。</w:t>
      </w:r>
    </w:p>
    <w:p>
      <w:pPr>
        <w:pStyle w:val="15"/>
        <w:numPr>
          <w:ilvl w:val="0"/>
          <w:numId w:val="0"/>
        </w:numPr>
        <w:tabs>
          <w:tab w:val="left" w:pos="1050"/>
        </w:tabs>
        <w:adjustRightInd w:val="0"/>
        <w:snapToGrid w:val="0"/>
        <w:spacing w:line="560" w:lineRule="exact"/>
        <w:ind w:firstLine="640" w:firstLineChars="200"/>
        <w:rPr>
          <w:rFonts w:ascii="仿宋" w:hAnsi="仿宋" w:eastAsia="仿宋"/>
        </w:rPr>
      </w:pPr>
      <w:r>
        <w:rPr>
          <w:rFonts w:hint="eastAsia" w:ascii="黑体" w:hAnsi="黑体" w:eastAsia="黑体" w:cs="黑体"/>
          <w:sz w:val="32"/>
          <w:szCs w:val="32"/>
          <w:lang w:val="en-US" w:eastAsia="zh-CN"/>
        </w:rPr>
        <w:t>五、</w:t>
      </w:r>
      <w:r>
        <w:rPr>
          <w:rFonts w:hint="eastAsia" w:ascii="黑体" w:hAnsi="黑体" w:eastAsia="黑体" w:cs="黑体"/>
          <w:sz w:val="32"/>
          <w:szCs w:val="32"/>
        </w:rPr>
        <w:t>对投标方提交的投标文件要求：</w:t>
      </w:r>
    </w:p>
    <w:p>
      <w:pPr>
        <w:pStyle w:val="15"/>
        <w:tabs>
          <w:tab w:val="left" w:pos="1134"/>
        </w:tabs>
        <w:adjustRightInd w:val="0"/>
        <w:snapToGrid w:val="0"/>
        <w:spacing w:line="560" w:lineRule="exact"/>
        <w:ind w:left="420" w:firstLine="240" w:firstLineChars="7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投标文件需包括：</w:t>
      </w:r>
    </w:p>
    <w:p>
      <w:pPr>
        <w:tabs>
          <w:tab w:val="left" w:pos="1134"/>
        </w:tabs>
        <w:adjustRightInd w:val="0"/>
        <w:snapToGrid w:val="0"/>
        <w:spacing w:line="560" w:lineRule="exact"/>
        <w:ind w:firstLine="672" w:firstLineChars="21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投标方</w:t>
      </w:r>
      <w:r>
        <w:rPr>
          <w:rFonts w:ascii="仿宋" w:hAnsi="仿宋" w:eastAsia="仿宋"/>
          <w:sz w:val="32"/>
          <w:szCs w:val="32"/>
        </w:rPr>
        <w:t>资质材料（原件备查）：</w:t>
      </w:r>
    </w:p>
    <w:p>
      <w:pPr>
        <w:pStyle w:val="15"/>
        <w:numPr>
          <w:ilvl w:val="0"/>
          <w:numId w:val="2"/>
        </w:numPr>
        <w:tabs>
          <w:tab w:val="left" w:pos="1134"/>
        </w:tabs>
        <w:adjustRightInd w:val="0"/>
        <w:snapToGrid w:val="0"/>
        <w:spacing w:line="560" w:lineRule="exact"/>
        <w:ind w:left="28" w:firstLine="1246" w:firstLineChars="0"/>
        <w:rPr>
          <w:rFonts w:ascii="仿宋" w:hAnsi="仿宋" w:eastAsia="仿宋"/>
          <w:sz w:val="32"/>
          <w:szCs w:val="32"/>
        </w:rPr>
      </w:pPr>
      <w:r>
        <w:rPr>
          <w:rFonts w:ascii="仿宋" w:hAnsi="仿宋" w:eastAsia="仿宋"/>
          <w:sz w:val="32"/>
          <w:szCs w:val="32"/>
        </w:rPr>
        <w:t>企业营业执照副本复印件；</w:t>
      </w:r>
    </w:p>
    <w:p>
      <w:pPr>
        <w:pStyle w:val="15"/>
        <w:numPr>
          <w:ilvl w:val="0"/>
          <w:numId w:val="2"/>
        </w:numPr>
        <w:tabs>
          <w:tab w:val="left" w:pos="1134"/>
        </w:tabs>
        <w:adjustRightInd w:val="0"/>
        <w:snapToGrid w:val="0"/>
        <w:spacing w:line="560" w:lineRule="exact"/>
        <w:ind w:left="28" w:firstLine="1246" w:firstLineChars="0"/>
        <w:rPr>
          <w:rFonts w:ascii="仿宋" w:hAnsi="仿宋" w:eastAsia="仿宋"/>
          <w:sz w:val="32"/>
          <w:szCs w:val="32"/>
        </w:rPr>
      </w:pPr>
      <w:r>
        <w:rPr>
          <w:rFonts w:ascii="仿宋" w:hAnsi="仿宋" w:eastAsia="仿宋"/>
          <w:sz w:val="32"/>
          <w:szCs w:val="32"/>
        </w:rPr>
        <w:t>企业营业资质证书副本复印件；</w:t>
      </w:r>
    </w:p>
    <w:p>
      <w:pPr>
        <w:pStyle w:val="15"/>
        <w:numPr>
          <w:ilvl w:val="0"/>
          <w:numId w:val="2"/>
        </w:numPr>
        <w:tabs>
          <w:tab w:val="left" w:pos="1134"/>
        </w:tabs>
        <w:adjustRightInd w:val="0"/>
        <w:snapToGrid w:val="0"/>
        <w:spacing w:line="560" w:lineRule="exact"/>
        <w:ind w:left="28" w:firstLine="1246" w:firstLineChars="0"/>
        <w:rPr>
          <w:rFonts w:ascii="仿宋" w:hAnsi="仿宋" w:eastAsia="仿宋"/>
          <w:sz w:val="32"/>
          <w:szCs w:val="32"/>
        </w:rPr>
      </w:pPr>
      <w:r>
        <w:rPr>
          <w:rFonts w:ascii="仿宋" w:hAnsi="仿宋" w:eastAsia="仿宋"/>
          <w:sz w:val="32"/>
          <w:szCs w:val="32"/>
        </w:rPr>
        <w:t>建筑装修工程设计相关资质证书复印件（可选择</w:t>
      </w:r>
      <w:r>
        <w:rPr>
          <w:rFonts w:hint="eastAsia" w:ascii="仿宋" w:hAnsi="仿宋" w:eastAsia="仿宋"/>
          <w:sz w:val="32"/>
          <w:szCs w:val="32"/>
        </w:rPr>
        <w:t>提供</w:t>
      </w:r>
      <w:r>
        <w:rPr>
          <w:rFonts w:ascii="仿宋" w:hAnsi="仿宋" w:eastAsia="仿宋"/>
          <w:sz w:val="32"/>
          <w:szCs w:val="32"/>
        </w:rPr>
        <w:t>）；</w:t>
      </w:r>
    </w:p>
    <w:p>
      <w:pPr>
        <w:pStyle w:val="15"/>
        <w:numPr>
          <w:ilvl w:val="0"/>
          <w:numId w:val="2"/>
        </w:numPr>
        <w:tabs>
          <w:tab w:val="left" w:pos="1134"/>
        </w:tabs>
        <w:adjustRightInd w:val="0"/>
        <w:snapToGrid w:val="0"/>
        <w:spacing w:line="560" w:lineRule="exact"/>
        <w:ind w:left="28" w:firstLine="1246" w:firstLineChars="0"/>
        <w:rPr>
          <w:rFonts w:ascii="仿宋" w:hAnsi="仿宋" w:eastAsia="仿宋"/>
          <w:sz w:val="32"/>
          <w:szCs w:val="32"/>
        </w:rPr>
      </w:pPr>
      <w:r>
        <w:rPr>
          <w:rFonts w:ascii="仿宋" w:hAnsi="仿宋" w:eastAsia="仿宋"/>
          <w:sz w:val="32"/>
          <w:szCs w:val="32"/>
        </w:rPr>
        <w:t>企业安全生产许可证副本复印件（可选择</w:t>
      </w:r>
      <w:r>
        <w:rPr>
          <w:rFonts w:hint="eastAsia" w:ascii="仿宋" w:hAnsi="仿宋" w:eastAsia="仿宋"/>
          <w:sz w:val="32"/>
          <w:szCs w:val="32"/>
        </w:rPr>
        <w:t>提供</w:t>
      </w:r>
      <w:r>
        <w:rPr>
          <w:rFonts w:ascii="仿宋" w:hAnsi="仿宋" w:eastAsia="仿宋"/>
          <w:sz w:val="32"/>
          <w:szCs w:val="32"/>
        </w:rPr>
        <w:t>）；</w:t>
      </w:r>
    </w:p>
    <w:p>
      <w:pPr>
        <w:pStyle w:val="15"/>
        <w:numPr>
          <w:ilvl w:val="0"/>
          <w:numId w:val="2"/>
        </w:numPr>
        <w:tabs>
          <w:tab w:val="left" w:pos="1134"/>
        </w:tabs>
        <w:adjustRightInd w:val="0"/>
        <w:snapToGrid w:val="0"/>
        <w:spacing w:line="560" w:lineRule="exact"/>
        <w:ind w:left="28" w:firstLine="1246" w:firstLineChars="0"/>
        <w:rPr>
          <w:rFonts w:ascii="仿宋" w:hAnsi="仿宋" w:eastAsia="仿宋"/>
          <w:sz w:val="32"/>
          <w:szCs w:val="32"/>
        </w:rPr>
      </w:pPr>
      <w:r>
        <w:rPr>
          <w:rFonts w:ascii="仿宋" w:hAnsi="仿宋" w:eastAsia="仿宋"/>
          <w:sz w:val="32"/>
          <w:szCs w:val="32"/>
        </w:rPr>
        <w:t>装修项目经理身份证复印件。</w:t>
      </w:r>
    </w:p>
    <w:p>
      <w:pPr>
        <w:tabs>
          <w:tab w:val="left" w:pos="1134"/>
        </w:tabs>
        <w:adjustRightInd w:val="0"/>
        <w:snapToGrid w:val="0"/>
        <w:spacing w:line="560" w:lineRule="exact"/>
        <w:ind w:left="420" w:firstLine="272" w:firstLineChars="8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2</w:t>
      </w:r>
      <w:r>
        <w:rPr>
          <w:rFonts w:ascii="仿宋" w:hAnsi="仿宋" w:eastAsia="仿宋"/>
          <w:sz w:val="32"/>
          <w:szCs w:val="32"/>
        </w:rPr>
        <w:t>投标方案及报价资料：</w:t>
      </w:r>
    </w:p>
    <w:p>
      <w:pPr>
        <w:pStyle w:val="15"/>
        <w:tabs>
          <w:tab w:val="left" w:pos="868"/>
        </w:tabs>
        <w:adjustRightInd w:val="0"/>
        <w:snapToGrid w:val="0"/>
        <w:spacing w:line="560" w:lineRule="exact"/>
        <w:rPr>
          <w:rFonts w:ascii="仿宋" w:hAnsi="仿宋" w:eastAsia="仿宋"/>
          <w:sz w:val="32"/>
          <w:szCs w:val="32"/>
        </w:rPr>
      </w:pPr>
      <w:r>
        <w:rPr>
          <w:rFonts w:ascii="仿宋" w:hAnsi="仿宋" w:eastAsia="仿宋"/>
          <w:b/>
          <w:bCs/>
          <w:sz w:val="32"/>
          <w:szCs w:val="32"/>
        </w:rPr>
        <w:t>说明：</w:t>
      </w:r>
      <w:r>
        <w:rPr>
          <w:rFonts w:ascii="仿宋" w:hAnsi="仿宋" w:eastAsia="仿宋"/>
          <w:sz w:val="32"/>
          <w:szCs w:val="32"/>
        </w:rPr>
        <w:t>投标文件包括但不限于以上资料，并需装订成册，相关资质做为作为附件置于投标资料后。</w:t>
      </w:r>
    </w:p>
    <w:p>
      <w:pPr>
        <w:pStyle w:val="15"/>
        <w:numPr>
          <w:ilvl w:val="0"/>
          <w:numId w:val="3"/>
        </w:numPr>
        <w:tabs>
          <w:tab w:val="left" w:pos="1134"/>
        </w:tabs>
        <w:adjustRightInd w:val="0"/>
        <w:snapToGrid w:val="0"/>
        <w:spacing w:line="560" w:lineRule="exact"/>
        <w:ind w:firstLine="868" w:firstLineChars="0"/>
        <w:rPr>
          <w:rFonts w:ascii="仿宋" w:hAnsi="仿宋" w:eastAsia="仿宋"/>
          <w:sz w:val="32"/>
          <w:szCs w:val="32"/>
        </w:rPr>
      </w:pPr>
      <w:r>
        <w:rPr>
          <w:rFonts w:ascii="仿宋" w:hAnsi="仿宋" w:eastAsia="仿宋"/>
          <w:sz w:val="32"/>
          <w:szCs w:val="32"/>
        </w:rPr>
        <w:t>投标书；</w:t>
      </w:r>
    </w:p>
    <w:p>
      <w:pPr>
        <w:pStyle w:val="15"/>
        <w:numPr>
          <w:ilvl w:val="0"/>
          <w:numId w:val="3"/>
        </w:numPr>
        <w:tabs>
          <w:tab w:val="left" w:pos="1134"/>
        </w:tabs>
        <w:adjustRightInd w:val="0"/>
        <w:snapToGrid w:val="0"/>
        <w:spacing w:line="560" w:lineRule="exact"/>
        <w:ind w:left="1694" w:hanging="406" w:firstLineChars="0"/>
        <w:rPr>
          <w:rFonts w:ascii="仿宋" w:hAnsi="仿宋" w:eastAsia="仿宋"/>
          <w:sz w:val="32"/>
          <w:szCs w:val="32"/>
        </w:rPr>
      </w:pPr>
      <w:r>
        <w:rPr>
          <w:rFonts w:ascii="仿宋" w:hAnsi="仿宋" w:eastAsia="仿宋"/>
          <w:sz w:val="32"/>
          <w:szCs w:val="32"/>
        </w:rPr>
        <w:t>总体装修方案（须有装修明细及报价清单，详细的工程平面图、强电配给说明、电源及网络端口位置图等</w:t>
      </w:r>
      <w:r>
        <w:rPr>
          <w:rFonts w:hint="eastAsia" w:ascii="仿宋" w:hAnsi="仿宋" w:eastAsia="仿宋"/>
          <w:sz w:val="32"/>
          <w:szCs w:val="32"/>
        </w:rPr>
        <w:t>）</w:t>
      </w:r>
      <w:r>
        <w:rPr>
          <w:rFonts w:ascii="仿宋" w:hAnsi="仿宋" w:eastAsia="仿宋"/>
          <w:sz w:val="32"/>
          <w:szCs w:val="32"/>
        </w:rPr>
        <w:t>；</w:t>
      </w:r>
    </w:p>
    <w:p>
      <w:pPr>
        <w:pStyle w:val="15"/>
        <w:numPr>
          <w:ilvl w:val="0"/>
          <w:numId w:val="3"/>
        </w:numPr>
        <w:tabs>
          <w:tab w:val="left" w:pos="994"/>
        </w:tabs>
        <w:adjustRightInd w:val="0"/>
        <w:snapToGrid w:val="0"/>
        <w:spacing w:line="560" w:lineRule="exact"/>
        <w:ind w:left="1694" w:hanging="406" w:firstLineChars="0"/>
        <w:rPr>
          <w:rFonts w:ascii="仿宋" w:hAnsi="仿宋" w:eastAsia="仿宋"/>
          <w:sz w:val="32"/>
          <w:szCs w:val="32"/>
        </w:rPr>
      </w:pPr>
      <w:r>
        <w:rPr>
          <w:rFonts w:ascii="仿宋" w:hAnsi="仿宋" w:eastAsia="仿宋"/>
          <w:sz w:val="32"/>
          <w:szCs w:val="32"/>
        </w:rPr>
        <w:t>投标方施工、进度安排、验收标准、质量保证及措施的明确说明；</w:t>
      </w:r>
    </w:p>
    <w:p>
      <w:pPr>
        <w:pStyle w:val="15"/>
        <w:numPr>
          <w:ilvl w:val="0"/>
          <w:numId w:val="3"/>
        </w:numPr>
        <w:tabs>
          <w:tab w:val="left" w:pos="1134"/>
        </w:tabs>
        <w:adjustRightInd w:val="0"/>
        <w:snapToGrid w:val="0"/>
        <w:spacing w:line="560" w:lineRule="exact"/>
        <w:ind w:left="1694" w:hanging="406" w:firstLineChars="0"/>
        <w:rPr>
          <w:rFonts w:ascii="仿宋" w:hAnsi="仿宋" w:eastAsia="仿宋"/>
          <w:sz w:val="32"/>
          <w:szCs w:val="32"/>
        </w:rPr>
      </w:pPr>
      <w:r>
        <w:rPr>
          <w:rFonts w:ascii="仿宋" w:hAnsi="仿宋" w:eastAsia="仿宋"/>
          <w:sz w:val="32"/>
          <w:szCs w:val="32"/>
        </w:rPr>
        <w:t>装修工程保修期限等描述；</w:t>
      </w:r>
    </w:p>
    <w:p>
      <w:pPr>
        <w:pStyle w:val="15"/>
        <w:numPr>
          <w:ilvl w:val="0"/>
          <w:numId w:val="3"/>
        </w:numPr>
        <w:tabs>
          <w:tab w:val="left" w:pos="1134"/>
        </w:tabs>
        <w:adjustRightInd w:val="0"/>
        <w:snapToGrid w:val="0"/>
        <w:spacing w:line="560" w:lineRule="exact"/>
        <w:ind w:left="1694" w:hanging="406" w:firstLineChars="0"/>
        <w:rPr>
          <w:rFonts w:ascii="仿宋" w:hAnsi="仿宋" w:eastAsia="仿宋"/>
          <w:sz w:val="32"/>
          <w:szCs w:val="32"/>
        </w:rPr>
      </w:pPr>
      <w:r>
        <w:rPr>
          <w:rFonts w:hint="eastAsia" w:ascii="仿宋" w:hAnsi="仿宋" w:eastAsia="仿宋"/>
          <w:sz w:val="32"/>
          <w:szCs w:val="32"/>
        </w:rPr>
        <w:t>提供装修项目经理</w:t>
      </w:r>
      <w:r>
        <w:rPr>
          <w:rFonts w:ascii="仿宋" w:hAnsi="仿宋" w:eastAsia="仿宋"/>
          <w:sz w:val="32"/>
          <w:szCs w:val="32"/>
        </w:rPr>
        <w:t>联系方式。</w:t>
      </w:r>
    </w:p>
    <w:p>
      <w:pPr>
        <w:pStyle w:val="15"/>
        <w:numPr>
          <w:ilvl w:val="0"/>
          <w:numId w:val="0"/>
        </w:numPr>
        <w:tabs>
          <w:tab w:val="left" w:pos="1134"/>
        </w:tabs>
        <w:adjustRightInd w:val="0"/>
        <w:snapToGrid w:val="0"/>
        <w:spacing w:line="560" w:lineRule="exact"/>
        <w:ind w:leftChars="0"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投标文件的编制要求：</w:t>
      </w:r>
    </w:p>
    <w:p>
      <w:pPr>
        <w:pStyle w:val="15"/>
        <w:numPr>
          <w:ilvl w:val="2"/>
          <w:numId w:val="4"/>
        </w:numPr>
        <w:tabs>
          <w:tab w:val="left" w:pos="700"/>
          <w:tab w:val="left" w:pos="1610"/>
        </w:tabs>
        <w:adjustRightInd w:val="0"/>
        <w:snapToGrid w:val="0"/>
        <w:spacing w:line="560" w:lineRule="exact"/>
        <w:ind w:left="1583" w:leftChars="586" w:hanging="352" w:hangingChars="110"/>
        <w:rPr>
          <w:rFonts w:ascii="仿宋" w:hAnsi="仿宋" w:eastAsia="仿宋"/>
          <w:sz w:val="32"/>
          <w:szCs w:val="32"/>
        </w:rPr>
      </w:pPr>
      <w:r>
        <w:rPr>
          <w:rFonts w:ascii="仿宋" w:hAnsi="仿宋" w:eastAsia="仿宋"/>
          <w:sz w:val="32"/>
          <w:szCs w:val="32"/>
        </w:rPr>
        <w:t>投标人应当按要求提供有关资格和资质证明文件；</w:t>
      </w:r>
    </w:p>
    <w:p>
      <w:pPr>
        <w:pStyle w:val="15"/>
        <w:numPr>
          <w:ilvl w:val="2"/>
          <w:numId w:val="4"/>
        </w:numPr>
        <w:tabs>
          <w:tab w:val="left" w:pos="700"/>
          <w:tab w:val="left" w:pos="1610"/>
        </w:tabs>
        <w:adjustRightInd w:val="0"/>
        <w:snapToGrid w:val="0"/>
        <w:spacing w:line="560" w:lineRule="exact"/>
        <w:ind w:left="1661" w:leftChars="593" w:hanging="416" w:hangingChars="130"/>
        <w:rPr>
          <w:rFonts w:ascii="仿宋" w:hAnsi="仿宋" w:eastAsia="仿宋"/>
          <w:sz w:val="32"/>
          <w:szCs w:val="32"/>
        </w:rPr>
      </w:pPr>
      <w:r>
        <w:rPr>
          <w:rFonts w:ascii="仿宋" w:hAnsi="仿宋" w:eastAsia="仿宋"/>
          <w:sz w:val="32"/>
          <w:szCs w:val="32"/>
        </w:rPr>
        <w:t>投标人应对本招标文件提出的要求和条件作出明确的响应；</w:t>
      </w:r>
    </w:p>
    <w:p>
      <w:pPr>
        <w:pStyle w:val="15"/>
        <w:numPr>
          <w:ilvl w:val="2"/>
          <w:numId w:val="4"/>
        </w:numPr>
        <w:tabs>
          <w:tab w:val="left" w:pos="700"/>
          <w:tab w:val="left" w:pos="1610"/>
        </w:tabs>
        <w:adjustRightInd w:val="0"/>
        <w:snapToGrid w:val="0"/>
        <w:spacing w:line="560" w:lineRule="exact"/>
        <w:ind w:firstLine="0" w:firstLineChars="0"/>
        <w:rPr>
          <w:rFonts w:ascii="仿宋" w:hAnsi="仿宋" w:eastAsia="仿宋"/>
          <w:sz w:val="32"/>
          <w:szCs w:val="32"/>
        </w:rPr>
      </w:pPr>
      <w:r>
        <w:rPr>
          <w:rFonts w:ascii="仿宋" w:hAnsi="仿宋" w:eastAsia="仿宋"/>
          <w:sz w:val="32"/>
          <w:szCs w:val="32"/>
        </w:rPr>
        <w:t>投标文件须制作目录；</w:t>
      </w:r>
    </w:p>
    <w:p>
      <w:pPr>
        <w:pStyle w:val="15"/>
        <w:numPr>
          <w:ilvl w:val="2"/>
          <w:numId w:val="4"/>
        </w:numPr>
        <w:tabs>
          <w:tab w:val="left" w:pos="700"/>
          <w:tab w:val="left" w:pos="1708"/>
        </w:tabs>
        <w:adjustRightInd w:val="0"/>
        <w:snapToGrid w:val="0"/>
        <w:spacing w:line="560" w:lineRule="exact"/>
        <w:ind w:left="1580" w:leftChars="600" w:hanging="320" w:hangingChars="100"/>
        <w:rPr>
          <w:rFonts w:ascii="仿宋" w:hAnsi="仿宋" w:eastAsia="仿宋"/>
          <w:sz w:val="32"/>
          <w:szCs w:val="32"/>
        </w:rPr>
      </w:pPr>
      <w:r>
        <w:rPr>
          <w:rFonts w:ascii="仿宋" w:hAnsi="仿宋" w:eastAsia="仿宋"/>
          <w:sz w:val="32"/>
          <w:szCs w:val="32"/>
        </w:rPr>
        <w:t>投标文件“正本”中相关资质及关键页等需加盖</w:t>
      </w:r>
      <w:r>
        <w:rPr>
          <w:rFonts w:hint="eastAsia" w:ascii="仿宋" w:hAnsi="仿宋" w:eastAsia="仿宋"/>
          <w:sz w:val="32"/>
          <w:szCs w:val="32"/>
        </w:rPr>
        <w:t>投标人（红）公章</w:t>
      </w:r>
      <w:r>
        <w:rPr>
          <w:rFonts w:ascii="仿宋" w:hAnsi="仿宋" w:eastAsia="仿宋"/>
          <w:sz w:val="32"/>
          <w:szCs w:val="32"/>
        </w:rPr>
        <w:t>；</w:t>
      </w:r>
    </w:p>
    <w:p>
      <w:pPr>
        <w:pStyle w:val="15"/>
        <w:numPr>
          <w:ilvl w:val="2"/>
          <w:numId w:val="4"/>
        </w:numPr>
        <w:tabs>
          <w:tab w:val="left" w:pos="1610"/>
        </w:tabs>
        <w:adjustRightInd w:val="0"/>
        <w:snapToGrid w:val="0"/>
        <w:spacing w:line="560" w:lineRule="exact"/>
        <w:ind w:left="1656" w:leftChars="600" w:hanging="396" w:hangingChars="124"/>
        <w:rPr>
          <w:rFonts w:ascii="仿宋" w:hAnsi="仿宋" w:eastAsia="仿宋"/>
          <w:sz w:val="32"/>
          <w:szCs w:val="32"/>
        </w:rPr>
      </w:pPr>
      <w:r>
        <w:rPr>
          <w:rFonts w:ascii="仿宋" w:hAnsi="仿宋" w:eastAsia="仿宋"/>
          <w:sz w:val="32"/>
          <w:szCs w:val="32"/>
        </w:rPr>
        <w:t>投标文件的“正本”和“副本”应分别装订成册，正本和副本的封面上应清楚标记“正本”</w:t>
      </w:r>
      <w:r>
        <w:rPr>
          <w:rFonts w:hint="eastAsia" w:ascii="仿宋" w:hAnsi="仿宋" w:eastAsia="仿宋"/>
          <w:sz w:val="32"/>
          <w:szCs w:val="32"/>
        </w:rPr>
        <w:t>或</w:t>
      </w:r>
      <w:r>
        <w:rPr>
          <w:rFonts w:ascii="仿宋" w:hAnsi="仿宋" w:eastAsia="仿宋"/>
          <w:sz w:val="32"/>
          <w:szCs w:val="32"/>
        </w:rPr>
        <w:t>“副本”的字样并密封，封口处加盖投标人单位章等；</w:t>
      </w:r>
    </w:p>
    <w:p>
      <w:pPr>
        <w:pStyle w:val="15"/>
        <w:numPr>
          <w:ilvl w:val="0"/>
          <w:numId w:val="0"/>
        </w:numPr>
        <w:tabs>
          <w:tab w:val="left" w:pos="1134"/>
          <w:tab w:val="left" w:pos="1610"/>
        </w:tabs>
        <w:adjustRightInd w:val="0"/>
        <w:snapToGrid w:val="0"/>
        <w:spacing w:line="560" w:lineRule="exact"/>
        <w:ind w:left="1597" w:leftChars="608" w:hanging="320" w:hangingChars="100"/>
        <w:rPr>
          <w:rFonts w:hint="eastAsia" w:ascii="仿宋" w:hAnsi="仿宋" w:eastAsia="仿宋"/>
          <w:lang w:eastAsia="zh-CN"/>
        </w:rPr>
      </w:pPr>
      <w:r>
        <w:rPr>
          <w:rFonts w:hint="eastAsia" w:ascii="仿宋" w:hAnsi="仿宋" w:eastAsia="仿宋"/>
          <w:sz w:val="32"/>
          <w:szCs w:val="32"/>
          <w:lang w:val="en-US" w:eastAsia="zh-CN"/>
        </w:rPr>
        <w:t>6)</w:t>
      </w:r>
      <w:r>
        <w:rPr>
          <w:rFonts w:ascii="仿宋" w:hAnsi="仿宋" w:eastAsia="仿宋"/>
          <w:sz w:val="32"/>
          <w:szCs w:val="32"/>
        </w:rPr>
        <w:t>以上投标文件（含投标方案、报价资料及资质材料等）一式</w:t>
      </w:r>
      <w:r>
        <w:rPr>
          <w:rFonts w:hint="eastAsia" w:ascii="仿宋" w:hAnsi="仿宋" w:eastAsia="仿宋"/>
          <w:sz w:val="32"/>
          <w:szCs w:val="32"/>
          <w:lang w:val="en-US" w:eastAsia="zh-CN"/>
        </w:rPr>
        <w:t>3</w:t>
      </w:r>
      <w:r>
        <w:rPr>
          <w:rFonts w:hint="eastAsia" w:ascii="仿宋" w:hAnsi="仿宋" w:eastAsia="仿宋"/>
          <w:sz w:val="32"/>
          <w:szCs w:val="32"/>
        </w:rPr>
        <w:t>份（正本1份，副本</w:t>
      </w:r>
      <w:r>
        <w:rPr>
          <w:rFonts w:hint="eastAsia" w:ascii="仿宋" w:hAnsi="仿宋" w:eastAsia="仿宋"/>
          <w:sz w:val="32"/>
          <w:szCs w:val="32"/>
          <w:lang w:val="en-US" w:eastAsia="zh-CN"/>
        </w:rPr>
        <w:t>2</w:t>
      </w:r>
      <w:r>
        <w:rPr>
          <w:rFonts w:hint="eastAsia" w:ascii="仿宋" w:hAnsi="仿宋" w:eastAsia="仿宋"/>
          <w:sz w:val="32"/>
          <w:szCs w:val="32"/>
        </w:rPr>
        <w:t>份）提交</w:t>
      </w:r>
      <w:r>
        <w:rPr>
          <w:rFonts w:hint="eastAsia" w:ascii="仿宋" w:hAnsi="仿宋" w:eastAsia="仿宋"/>
          <w:sz w:val="32"/>
          <w:szCs w:val="32"/>
          <w:lang w:eastAsia="zh-CN"/>
        </w:rPr>
        <w:t>。</w:t>
      </w:r>
    </w:p>
    <w:p>
      <w:pPr>
        <w:pStyle w:val="15"/>
        <w:numPr>
          <w:ilvl w:val="0"/>
          <w:numId w:val="0"/>
        </w:numPr>
        <w:tabs>
          <w:tab w:val="left" w:pos="1134"/>
          <w:tab w:val="left" w:pos="1610"/>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投标方服务承诺：</w:t>
      </w:r>
    </w:p>
    <w:p>
      <w:pPr>
        <w:pStyle w:val="15"/>
        <w:numPr>
          <w:ilvl w:val="0"/>
          <w:numId w:val="0"/>
        </w:numPr>
        <w:tabs>
          <w:tab w:val="left" w:pos="1092"/>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装修投标方需承诺免费保修期限。所有材料及配件一年内免费质保，一年内免费上门维护服务，中标人负责所有因质量问题而产生的费用；</w:t>
      </w:r>
    </w:p>
    <w:p>
      <w:pPr>
        <w:pStyle w:val="15"/>
        <w:numPr>
          <w:ilvl w:val="0"/>
          <w:numId w:val="0"/>
        </w:numPr>
        <w:tabs>
          <w:tab w:val="left" w:pos="1092"/>
        </w:tabs>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在免费保修服务期内，得到用户报修通知的须60分钟</w:t>
      </w:r>
      <w:r>
        <w:rPr>
          <w:rFonts w:hint="eastAsia" w:ascii="仿宋" w:hAnsi="仿宋" w:eastAsia="仿宋"/>
          <w:sz w:val="32"/>
          <w:szCs w:val="32"/>
        </w:rPr>
        <w:t>内做出响应，如需到现场解决的需在</w:t>
      </w:r>
      <w:r>
        <w:rPr>
          <w:rFonts w:ascii="仿宋" w:hAnsi="仿宋" w:eastAsia="仿宋"/>
          <w:sz w:val="32"/>
          <w:szCs w:val="32"/>
        </w:rPr>
        <w:t>48个小时内抵达现场处理解决。</w:t>
      </w:r>
    </w:p>
    <w:p>
      <w:pPr>
        <w:pStyle w:val="15"/>
        <w:numPr>
          <w:ilvl w:val="0"/>
          <w:numId w:val="0"/>
        </w:numPr>
        <w:tabs>
          <w:tab w:val="left" w:pos="1092"/>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七、初审和评标：</w:t>
      </w:r>
    </w:p>
    <w:p>
      <w:pPr>
        <w:adjustRightInd w:val="0"/>
        <w:snapToGrid w:val="0"/>
        <w:spacing w:line="560" w:lineRule="exact"/>
        <w:ind w:firstLine="688" w:firstLineChars="215"/>
        <w:rPr>
          <w:rFonts w:ascii="仿宋" w:hAnsi="仿宋" w:eastAsia="仿宋"/>
          <w:sz w:val="32"/>
          <w:szCs w:val="32"/>
        </w:rPr>
      </w:pPr>
      <w:r>
        <w:rPr>
          <w:rFonts w:ascii="仿宋" w:hAnsi="仿宋" w:eastAsia="仿宋"/>
          <w:sz w:val="32"/>
          <w:szCs w:val="32"/>
        </w:rPr>
        <w:t>招标方承诺评标工作由招标方依规组织有关评标小组，本着</w:t>
      </w:r>
      <w:r>
        <w:rPr>
          <w:rFonts w:hint="eastAsia" w:ascii="仿宋" w:hAnsi="仿宋" w:eastAsia="仿宋"/>
          <w:sz w:val="32"/>
          <w:szCs w:val="32"/>
        </w:rPr>
        <w:t>“</w:t>
      </w:r>
      <w:r>
        <w:rPr>
          <w:rFonts w:ascii="仿宋" w:hAnsi="仿宋" w:eastAsia="仿宋"/>
          <w:sz w:val="32"/>
          <w:szCs w:val="32"/>
        </w:rPr>
        <w:t>公开、公平、公正</w:t>
      </w:r>
      <w:r>
        <w:rPr>
          <w:rFonts w:hint="eastAsia" w:ascii="仿宋" w:hAnsi="仿宋" w:eastAsia="仿宋"/>
          <w:sz w:val="32"/>
          <w:szCs w:val="32"/>
        </w:rPr>
        <w:t>”</w:t>
      </w:r>
      <w:r>
        <w:rPr>
          <w:rFonts w:ascii="仿宋" w:hAnsi="仿宋" w:eastAsia="仿宋"/>
          <w:sz w:val="32"/>
          <w:szCs w:val="32"/>
        </w:rPr>
        <w:t>的原则进行科学择优严格评标，包括初审和评标程序，以充分保证各投标方的合法利益。</w:t>
      </w:r>
    </w:p>
    <w:p>
      <w:pPr>
        <w:adjustRightInd w:val="0"/>
        <w:snapToGrid w:val="0"/>
        <w:spacing w:line="560" w:lineRule="exact"/>
        <w:ind w:firstLine="688" w:firstLineChars="215"/>
        <w:rPr>
          <w:rFonts w:ascii="仿宋" w:hAnsi="仿宋" w:eastAsia="仿宋"/>
          <w:sz w:val="32"/>
          <w:szCs w:val="32"/>
        </w:rPr>
      </w:pPr>
      <w:r>
        <w:rPr>
          <w:rFonts w:hint="eastAsia" w:ascii="仿宋" w:hAnsi="仿宋" w:eastAsia="仿宋"/>
          <w:sz w:val="32"/>
          <w:szCs w:val="32"/>
        </w:rPr>
        <w:t>1.初审:本项目对投标单位将进行资格初审，审查结论为合格和不合格，一项或超过一项内容未通过，为不合格投标人，不进入评标。</w:t>
      </w:r>
    </w:p>
    <w:p>
      <w:pPr>
        <w:adjustRightInd w:val="0"/>
        <w:snapToGrid w:val="0"/>
        <w:spacing w:line="560" w:lineRule="exact"/>
        <w:ind w:firstLine="688" w:firstLineChars="215"/>
        <w:rPr>
          <w:rFonts w:ascii="仿宋" w:hAnsi="仿宋" w:eastAsia="仿宋"/>
          <w:sz w:val="32"/>
          <w:szCs w:val="32"/>
        </w:rPr>
      </w:pPr>
      <w:r>
        <w:rPr>
          <w:rFonts w:ascii="仿宋" w:hAnsi="仿宋" w:eastAsia="仿宋"/>
          <w:sz w:val="32"/>
          <w:szCs w:val="32"/>
        </w:rPr>
        <w:t>2.评标：</w:t>
      </w:r>
    </w:p>
    <w:p>
      <w:pPr>
        <w:pStyle w:val="15"/>
        <w:numPr>
          <w:ilvl w:val="0"/>
          <w:numId w:val="5"/>
        </w:numPr>
        <w:tabs>
          <w:tab w:val="left" w:pos="1134"/>
        </w:tabs>
        <w:adjustRightInd w:val="0"/>
        <w:snapToGrid w:val="0"/>
        <w:spacing w:line="560" w:lineRule="exact"/>
        <w:ind w:left="1470" w:hanging="406" w:firstLineChars="0"/>
        <w:rPr>
          <w:rFonts w:ascii="仿宋" w:hAnsi="仿宋" w:eastAsia="仿宋"/>
          <w:sz w:val="32"/>
          <w:szCs w:val="32"/>
        </w:rPr>
      </w:pPr>
      <w:r>
        <w:rPr>
          <w:rFonts w:hint="eastAsia" w:ascii="仿宋" w:hAnsi="仿宋" w:eastAsia="仿宋"/>
          <w:sz w:val="32"/>
          <w:szCs w:val="32"/>
        </w:rPr>
        <w:t>本次评标采用“综合评分法”，按照招标文件中规定的</w:t>
      </w:r>
      <w:r>
        <w:rPr>
          <w:rFonts w:ascii="仿宋" w:hAnsi="仿宋" w:eastAsia="仿宋"/>
          <w:sz w:val="32"/>
          <w:szCs w:val="32"/>
        </w:rPr>
        <w:t>方案、资质及报价等</w:t>
      </w:r>
      <w:r>
        <w:rPr>
          <w:rFonts w:hint="eastAsia" w:ascii="仿宋" w:hAnsi="仿宋" w:eastAsia="仿宋"/>
          <w:sz w:val="32"/>
          <w:szCs w:val="32"/>
        </w:rPr>
        <w:t>各项因素进行量化打分，以评标综合总得分最高的投标人为中标人；</w:t>
      </w:r>
    </w:p>
    <w:p>
      <w:pPr>
        <w:pStyle w:val="15"/>
        <w:numPr>
          <w:ilvl w:val="0"/>
          <w:numId w:val="5"/>
        </w:numPr>
        <w:adjustRightInd w:val="0"/>
        <w:snapToGrid w:val="0"/>
        <w:spacing w:line="560" w:lineRule="exact"/>
        <w:ind w:left="1470" w:hanging="406" w:firstLineChars="0"/>
        <w:rPr>
          <w:rFonts w:ascii="仿宋" w:hAnsi="仿宋" w:eastAsia="仿宋"/>
          <w:sz w:val="32"/>
          <w:szCs w:val="32"/>
        </w:rPr>
      </w:pPr>
      <w:r>
        <w:rPr>
          <w:rFonts w:hint="eastAsia" w:ascii="仿宋" w:hAnsi="仿宋" w:eastAsia="仿宋"/>
          <w:sz w:val="32"/>
          <w:szCs w:val="32"/>
        </w:rPr>
        <w:t>确定中标供应商按评审后得分由高到低顺序排列。得分相同的，按投标报价由低到高顺序排列；</w:t>
      </w:r>
    </w:p>
    <w:p>
      <w:pPr>
        <w:pStyle w:val="15"/>
        <w:numPr>
          <w:ilvl w:val="0"/>
          <w:numId w:val="5"/>
        </w:numPr>
        <w:adjustRightInd w:val="0"/>
        <w:snapToGrid w:val="0"/>
        <w:spacing w:line="560" w:lineRule="exact"/>
        <w:ind w:left="1470" w:hanging="406" w:firstLineChars="0"/>
        <w:rPr>
          <w:rFonts w:ascii="仿宋" w:hAnsi="仿宋" w:eastAsia="仿宋"/>
          <w:sz w:val="32"/>
          <w:szCs w:val="32"/>
        </w:rPr>
      </w:pPr>
      <w:r>
        <w:rPr>
          <w:rFonts w:hint="eastAsia" w:ascii="仿宋" w:hAnsi="仿宋" w:eastAsia="仿宋"/>
          <w:sz w:val="32"/>
          <w:szCs w:val="32"/>
        </w:rPr>
        <w:t>评标组对每个通过资格性检查和符合性检查，并评审、打分，然后汇总每个投标供应商每项评分因素的评分；</w:t>
      </w:r>
    </w:p>
    <w:p>
      <w:pPr>
        <w:pStyle w:val="15"/>
        <w:numPr>
          <w:ilvl w:val="0"/>
          <w:numId w:val="5"/>
        </w:numPr>
        <w:adjustRightInd w:val="0"/>
        <w:snapToGrid w:val="0"/>
        <w:spacing w:line="560" w:lineRule="exact"/>
        <w:ind w:left="1470" w:hanging="406" w:firstLineChars="0"/>
        <w:rPr>
          <w:rFonts w:ascii="仿宋" w:hAnsi="仿宋" w:eastAsia="仿宋"/>
          <w:sz w:val="32"/>
          <w:szCs w:val="32"/>
        </w:rPr>
      </w:pPr>
      <w:r>
        <w:rPr>
          <w:rFonts w:hint="eastAsia" w:ascii="仿宋" w:hAnsi="仿宋" w:eastAsia="仿宋"/>
          <w:sz w:val="32"/>
          <w:szCs w:val="32"/>
        </w:rPr>
        <w:t>评标组在评标时，按照以下量化的评审因素，对进入该阶段评审的各投标文件进行分析和比较（详见</w:t>
      </w:r>
      <w:r>
        <w:rPr>
          <w:rFonts w:ascii="仿宋" w:hAnsi="仿宋" w:eastAsia="仿宋"/>
          <w:sz w:val="32"/>
          <w:szCs w:val="32"/>
        </w:rPr>
        <w:t>投标装修实验室</w:t>
      </w:r>
      <w:r>
        <w:rPr>
          <w:rFonts w:hint="eastAsia" w:ascii="仿宋" w:hAnsi="仿宋" w:eastAsia="仿宋"/>
          <w:sz w:val="32"/>
          <w:szCs w:val="32"/>
        </w:rPr>
        <w:t>评分表）；</w:t>
      </w:r>
    </w:p>
    <w:p>
      <w:pPr>
        <w:pStyle w:val="15"/>
        <w:numPr>
          <w:ilvl w:val="0"/>
          <w:numId w:val="5"/>
        </w:numPr>
        <w:tabs>
          <w:tab w:val="left" w:pos="851"/>
          <w:tab w:val="left" w:pos="993"/>
          <w:tab w:val="left" w:pos="1134"/>
        </w:tabs>
        <w:adjustRightInd w:val="0"/>
        <w:snapToGrid w:val="0"/>
        <w:spacing w:line="560" w:lineRule="exact"/>
        <w:ind w:left="1484" w:hanging="392" w:firstLineChars="0"/>
        <w:rPr>
          <w:rFonts w:ascii="仿宋" w:hAnsi="仿宋" w:eastAsia="仿宋"/>
          <w:sz w:val="32"/>
          <w:szCs w:val="32"/>
        </w:rPr>
      </w:pPr>
      <w:r>
        <w:rPr>
          <w:rFonts w:ascii="仿宋" w:hAnsi="仿宋" w:eastAsia="仿宋"/>
          <w:sz w:val="32"/>
          <w:szCs w:val="32"/>
        </w:rPr>
        <w:t>评标小组完成评标后，现场统计各投标单位分值，评标小组以综合得分的高低确定中标单位。</w:t>
      </w:r>
    </w:p>
    <w:p>
      <w:pPr>
        <w:tabs>
          <w:tab w:val="left" w:pos="1134"/>
        </w:tabs>
        <w:adjustRightInd w:val="0"/>
        <w:snapToGrid w:val="0"/>
        <w:spacing w:line="400" w:lineRule="exact"/>
        <w:jc w:val="center"/>
        <w:rPr>
          <w:rFonts w:ascii="仿宋" w:hAnsi="仿宋" w:eastAsia="仿宋"/>
          <w:b/>
          <w:sz w:val="32"/>
        </w:rPr>
      </w:pPr>
    </w:p>
    <w:p>
      <w:pPr>
        <w:tabs>
          <w:tab w:val="left" w:pos="1134"/>
        </w:tabs>
        <w:adjustRightInd w:val="0"/>
        <w:snapToGrid w:val="0"/>
        <w:spacing w:line="400" w:lineRule="exact"/>
        <w:jc w:val="center"/>
        <w:rPr>
          <w:rFonts w:ascii="仿宋" w:hAnsi="仿宋" w:eastAsia="仿宋"/>
          <w:b/>
          <w:sz w:val="32"/>
        </w:rPr>
      </w:pPr>
    </w:p>
    <w:p>
      <w:pPr>
        <w:tabs>
          <w:tab w:val="left" w:pos="1134"/>
        </w:tabs>
        <w:adjustRightInd w:val="0"/>
        <w:snapToGrid w:val="0"/>
        <w:spacing w:line="400" w:lineRule="exact"/>
        <w:jc w:val="center"/>
        <w:rPr>
          <w:rFonts w:ascii="仿宋" w:hAnsi="仿宋" w:eastAsia="仿宋"/>
          <w:b/>
          <w:sz w:val="32"/>
        </w:rPr>
      </w:pPr>
    </w:p>
    <w:p>
      <w:pPr>
        <w:tabs>
          <w:tab w:val="left" w:pos="1134"/>
        </w:tabs>
        <w:adjustRightInd w:val="0"/>
        <w:snapToGrid w:val="0"/>
        <w:spacing w:line="400" w:lineRule="exact"/>
        <w:jc w:val="center"/>
        <w:rPr>
          <w:rFonts w:ascii="仿宋" w:hAnsi="仿宋" w:eastAsia="仿宋"/>
          <w:b/>
          <w:sz w:val="32"/>
        </w:rPr>
      </w:pPr>
    </w:p>
    <w:p>
      <w:pPr>
        <w:tabs>
          <w:tab w:val="left" w:pos="1134"/>
        </w:tabs>
        <w:adjustRightInd w:val="0"/>
        <w:snapToGrid w:val="0"/>
        <w:spacing w:line="400" w:lineRule="exact"/>
        <w:jc w:val="center"/>
        <w:rPr>
          <w:rFonts w:ascii="仿宋" w:hAnsi="仿宋" w:eastAsia="仿宋"/>
          <w:b/>
          <w:sz w:val="32"/>
        </w:rPr>
      </w:pPr>
    </w:p>
    <w:p>
      <w:pPr>
        <w:tabs>
          <w:tab w:val="left" w:pos="1134"/>
        </w:tabs>
        <w:adjustRightInd w:val="0"/>
        <w:snapToGrid w:val="0"/>
        <w:spacing w:line="400" w:lineRule="exact"/>
        <w:jc w:val="center"/>
        <w:rPr>
          <w:rFonts w:ascii="仿宋" w:hAnsi="仿宋" w:eastAsia="仿宋"/>
          <w:b/>
          <w:sz w:val="32"/>
        </w:rPr>
      </w:pPr>
      <w:r>
        <w:rPr>
          <w:rFonts w:ascii="仿宋" w:hAnsi="仿宋" w:eastAsia="仿宋"/>
          <w:b/>
          <w:sz w:val="32"/>
        </w:rPr>
        <w:t>投标装修</w:t>
      </w:r>
      <w:r>
        <w:rPr>
          <w:rFonts w:hint="eastAsia" w:ascii="仿宋" w:hAnsi="仿宋" w:eastAsia="仿宋"/>
          <w:b/>
          <w:sz w:val="32"/>
        </w:rPr>
        <w:t>评分表</w:t>
      </w:r>
    </w:p>
    <w:tbl>
      <w:tblPr>
        <w:tblStyle w:val="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984"/>
        <w:gridCol w:w="709"/>
        <w:gridCol w:w="1134"/>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shd w:val="clear" w:color="auto" w:fill="auto"/>
            <w:vAlign w:val="center"/>
          </w:tcPr>
          <w:p>
            <w:pPr>
              <w:ind w:leftChars="-13" w:hanging="27" w:hangingChars="13"/>
              <w:jc w:val="center"/>
              <w:rPr>
                <w:rFonts w:ascii="宋体" w:hAnsi="宋体" w:eastAsia="宋体" w:cs="Times New Roman"/>
                <w:szCs w:val="21"/>
              </w:rPr>
            </w:pPr>
            <w:r>
              <w:rPr>
                <w:rFonts w:hint="eastAsia" w:ascii="宋体" w:hAnsi="宋体" w:eastAsia="宋体" w:cs="Times New Roman"/>
                <w:szCs w:val="21"/>
              </w:rPr>
              <w:t>序号</w:t>
            </w:r>
          </w:p>
        </w:tc>
        <w:tc>
          <w:tcPr>
            <w:tcW w:w="4536" w:type="dxa"/>
            <w:gridSpan w:val="4"/>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评分项</w:t>
            </w:r>
          </w:p>
        </w:tc>
        <w:tc>
          <w:tcPr>
            <w:tcW w:w="3255"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shd w:val="clear" w:color="auto" w:fill="auto"/>
            <w:vAlign w:val="center"/>
          </w:tcPr>
          <w:p>
            <w:pPr>
              <w:ind w:leftChars="-13" w:hanging="27" w:hangingChars="13"/>
              <w:jc w:val="center"/>
              <w:rPr>
                <w:rFonts w:ascii="宋体" w:hAnsi="宋体" w:eastAsia="宋体" w:cs="Times New Roman"/>
                <w:szCs w:val="21"/>
              </w:rPr>
            </w:pPr>
            <w:r>
              <w:rPr>
                <w:rFonts w:ascii="宋体" w:hAnsi="宋体" w:eastAsia="宋体" w:cs="Times New Roman"/>
                <w:szCs w:val="21"/>
              </w:rPr>
              <w:t>1</w:t>
            </w:r>
          </w:p>
        </w:tc>
        <w:tc>
          <w:tcPr>
            <w:tcW w:w="4536" w:type="dxa"/>
            <w:gridSpan w:val="4"/>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价格</w:t>
            </w:r>
          </w:p>
        </w:tc>
        <w:tc>
          <w:tcPr>
            <w:tcW w:w="3255"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4" w:type="dxa"/>
            <w:shd w:val="clear" w:color="auto" w:fill="auto"/>
            <w:vAlign w:val="center"/>
          </w:tcPr>
          <w:p>
            <w:pPr>
              <w:ind w:leftChars="-13" w:hanging="27" w:hangingChars="13"/>
              <w:jc w:val="center"/>
              <w:rPr>
                <w:rFonts w:ascii="宋体" w:hAnsi="宋体" w:eastAsia="宋体" w:cs="Times New Roman"/>
                <w:szCs w:val="21"/>
              </w:rPr>
            </w:pPr>
            <w:r>
              <w:rPr>
                <w:rFonts w:ascii="宋体" w:hAnsi="宋体" w:eastAsia="宋体" w:cs="Times New Roman"/>
                <w:szCs w:val="21"/>
              </w:rPr>
              <w:t>2</w:t>
            </w:r>
          </w:p>
        </w:tc>
        <w:tc>
          <w:tcPr>
            <w:tcW w:w="4536" w:type="dxa"/>
            <w:gridSpan w:val="4"/>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技术部分</w:t>
            </w:r>
          </w:p>
        </w:tc>
        <w:tc>
          <w:tcPr>
            <w:tcW w:w="3255"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vMerge w:val="restart"/>
            <w:shd w:val="clear" w:color="auto" w:fill="auto"/>
            <w:vAlign w:val="center"/>
          </w:tcPr>
          <w:p>
            <w:pP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评分因素</w:t>
            </w: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权重</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评分方式</w:t>
            </w:r>
          </w:p>
        </w:tc>
        <w:tc>
          <w:tcPr>
            <w:tcW w:w="3255"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装修整体方案的情况</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9</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提供装修方案的完整性和可行性，满足招标文件要求的优得</w:t>
            </w:r>
            <w:r>
              <w:rPr>
                <w:rFonts w:ascii="宋体" w:hAnsi="宋体" w:eastAsia="宋体" w:cs="Times New Roman"/>
                <w:szCs w:val="21"/>
              </w:rPr>
              <w:t>9</w:t>
            </w:r>
            <w:r>
              <w:rPr>
                <w:rFonts w:hint="eastAsia" w:ascii="宋体" w:hAnsi="宋体" w:eastAsia="宋体" w:cs="Times New Roman"/>
                <w:szCs w:val="21"/>
              </w:rPr>
              <w:t>分，良</w:t>
            </w:r>
            <w:r>
              <w:rPr>
                <w:rFonts w:ascii="宋体" w:hAnsi="宋体" w:eastAsia="宋体" w:cs="Times New Roman"/>
                <w:szCs w:val="21"/>
              </w:rPr>
              <w:t>7-8</w:t>
            </w:r>
            <w:r>
              <w:rPr>
                <w:rFonts w:hint="eastAsia" w:ascii="宋体" w:hAnsi="宋体" w:eastAsia="宋体" w:cs="Times New Roman"/>
                <w:szCs w:val="21"/>
              </w:rPr>
              <w:t>分，中</w:t>
            </w: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质量保障措施</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9</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在投标文件中说明保障措施，按质量保障情况评分为：优得</w:t>
            </w:r>
            <w:r>
              <w:rPr>
                <w:rFonts w:ascii="宋体" w:hAnsi="宋体" w:eastAsia="宋体" w:cs="Times New Roman"/>
                <w:szCs w:val="21"/>
              </w:rPr>
              <w:t>9</w:t>
            </w:r>
            <w:r>
              <w:rPr>
                <w:rFonts w:hint="eastAsia" w:ascii="宋体" w:hAnsi="宋体" w:eastAsia="宋体" w:cs="Times New Roman"/>
                <w:szCs w:val="21"/>
              </w:rPr>
              <w:t>分，良</w:t>
            </w:r>
            <w:r>
              <w:rPr>
                <w:rFonts w:ascii="宋体" w:hAnsi="宋体" w:eastAsia="宋体" w:cs="Times New Roman"/>
                <w:szCs w:val="21"/>
              </w:rPr>
              <w:t>7-8</w:t>
            </w:r>
            <w:r>
              <w:rPr>
                <w:rFonts w:hint="eastAsia" w:ascii="宋体" w:hAnsi="宋体" w:eastAsia="宋体" w:cs="Times New Roman"/>
                <w:szCs w:val="21"/>
              </w:rPr>
              <w:t>分，中</w:t>
            </w: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关键施工技术及工程项目实施的重点、难点分析和解决方案</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7</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在投标文件中分析情况及方案，按合理有效情况评分为：优得</w:t>
            </w:r>
            <w:r>
              <w:rPr>
                <w:rFonts w:ascii="宋体" w:hAnsi="宋体" w:eastAsia="宋体" w:cs="Times New Roman"/>
                <w:szCs w:val="21"/>
              </w:rPr>
              <w:t>7</w:t>
            </w:r>
            <w:r>
              <w:rPr>
                <w:rFonts w:hint="eastAsia" w:ascii="宋体" w:hAnsi="宋体" w:eastAsia="宋体" w:cs="Times New Roman"/>
                <w:szCs w:val="21"/>
              </w:rPr>
              <w:t>分，良</w:t>
            </w:r>
            <w:r>
              <w:rPr>
                <w:rFonts w:ascii="宋体" w:hAnsi="宋体" w:eastAsia="宋体" w:cs="Times New Roman"/>
                <w:szCs w:val="21"/>
              </w:rPr>
              <w:t>5-6</w:t>
            </w:r>
            <w:r>
              <w:rPr>
                <w:rFonts w:hint="eastAsia" w:ascii="宋体" w:hAnsi="宋体" w:eastAsia="宋体" w:cs="Times New Roman"/>
                <w:szCs w:val="21"/>
              </w:rPr>
              <w:t>分，中</w:t>
            </w:r>
            <w:r>
              <w:rPr>
                <w:rFonts w:ascii="宋体" w:hAnsi="宋体" w:eastAsia="宋体" w:cs="Times New Roman"/>
                <w:szCs w:val="21"/>
              </w:rPr>
              <w:t>3-4</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4</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服务、售后方案</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7</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按投标文件中对服务和售后保障措施及方案情况，评分为：优得</w:t>
            </w:r>
            <w:r>
              <w:rPr>
                <w:rFonts w:ascii="宋体" w:hAnsi="宋体" w:eastAsia="宋体" w:cs="Times New Roman"/>
                <w:szCs w:val="21"/>
              </w:rPr>
              <w:t>7</w:t>
            </w:r>
            <w:r>
              <w:rPr>
                <w:rFonts w:hint="eastAsia" w:ascii="宋体" w:hAnsi="宋体" w:eastAsia="宋体" w:cs="Times New Roman"/>
                <w:szCs w:val="21"/>
              </w:rPr>
              <w:t>分，良</w:t>
            </w:r>
            <w:r>
              <w:rPr>
                <w:rFonts w:ascii="宋体" w:hAnsi="宋体" w:eastAsia="宋体" w:cs="Times New Roman"/>
                <w:szCs w:val="21"/>
              </w:rPr>
              <w:t>5-6</w:t>
            </w:r>
            <w:r>
              <w:rPr>
                <w:rFonts w:hint="eastAsia" w:ascii="宋体" w:hAnsi="宋体" w:eastAsia="宋体" w:cs="Times New Roman"/>
                <w:szCs w:val="21"/>
              </w:rPr>
              <w:t>分，中</w:t>
            </w: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5</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安全保障措施及方案</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6</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按投标文件中说明安全保障措施及方案情况，评分为：优得</w:t>
            </w:r>
            <w:r>
              <w:rPr>
                <w:rFonts w:ascii="宋体" w:hAnsi="宋体" w:eastAsia="宋体" w:cs="Times New Roman"/>
                <w:szCs w:val="21"/>
              </w:rPr>
              <w:t>6</w:t>
            </w:r>
            <w:r>
              <w:rPr>
                <w:rFonts w:hint="eastAsia" w:ascii="宋体" w:hAnsi="宋体" w:eastAsia="宋体" w:cs="Times New Roman"/>
                <w:szCs w:val="21"/>
              </w:rPr>
              <w:t>分，良</w:t>
            </w:r>
            <w:r>
              <w:rPr>
                <w:rFonts w:ascii="宋体" w:hAnsi="宋体" w:eastAsia="宋体" w:cs="Times New Roman"/>
                <w:szCs w:val="21"/>
              </w:rPr>
              <w:t>5</w:t>
            </w:r>
            <w:r>
              <w:rPr>
                <w:rFonts w:hint="eastAsia" w:ascii="宋体" w:hAnsi="宋体" w:eastAsia="宋体" w:cs="Times New Roman"/>
                <w:szCs w:val="21"/>
              </w:rPr>
              <w:t>分，中</w:t>
            </w:r>
            <w:r>
              <w:rPr>
                <w:rFonts w:ascii="宋体" w:hAnsi="宋体" w:eastAsia="宋体" w:cs="Times New Roman"/>
                <w:szCs w:val="21"/>
              </w:rPr>
              <w:t>3-4</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6</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环保（含材料）保障措施及方案</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6</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ascii="宋体" w:hAnsi="宋体" w:eastAsia="宋体" w:cs="Times New Roman"/>
                <w:szCs w:val="21"/>
              </w:rPr>
              <w:t>按</w:t>
            </w:r>
            <w:r>
              <w:rPr>
                <w:rFonts w:hint="eastAsia" w:ascii="宋体" w:hAnsi="宋体" w:eastAsia="宋体" w:cs="Times New Roman"/>
                <w:szCs w:val="21"/>
              </w:rPr>
              <w:t>投标文件中说明环保保障措施及方案情况，评分为：优得</w:t>
            </w:r>
            <w:r>
              <w:rPr>
                <w:rFonts w:ascii="宋体" w:hAnsi="宋体" w:eastAsia="宋体" w:cs="Times New Roman"/>
                <w:szCs w:val="21"/>
              </w:rPr>
              <w:t>6</w:t>
            </w:r>
            <w:r>
              <w:rPr>
                <w:rFonts w:hint="eastAsia" w:ascii="宋体" w:hAnsi="宋体" w:eastAsia="宋体" w:cs="Times New Roman"/>
                <w:szCs w:val="21"/>
              </w:rPr>
              <w:t>分，良</w:t>
            </w:r>
            <w:r>
              <w:rPr>
                <w:rFonts w:ascii="宋体" w:hAnsi="宋体" w:eastAsia="宋体" w:cs="Times New Roman"/>
                <w:szCs w:val="21"/>
              </w:rPr>
              <w:t>5</w:t>
            </w:r>
            <w:r>
              <w:rPr>
                <w:rFonts w:hint="eastAsia" w:ascii="宋体" w:hAnsi="宋体" w:eastAsia="宋体" w:cs="Times New Roman"/>
                <w:szCs w:val="21"/>
              </w:rPr>
              <w:t>分，中</w:t>
            </w:r>
            <w:r>
              <w:rPr>
                <w:rFonts w:ascii="宋体" w:hAnsi="宋体" w:eastAsia="宋体" w:cs="Times New Roman"/>
                <w:szCs w:val="21"/>
              </w:rPr>
              <w:t>3-4</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7</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项目采用的材料性能</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6</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ascii="宋体" w:hAnsi="宋体" w:eastAsia="宋体" w:cs="Times New Roman"/>
                <w:szCs w:val="21"/>
              </w:rPr>
              <w:t>按</w:t>
            </w:r>
            <w:r>
              <w:rPr>
                <w:rFonts w:hint="eastAsia" w:ascii="宋体" w:hAnsi="宋体" w:eastAsia="宋体" w:cs="Times New Roman"/>
                <w:szCs w:val="21"/>
              </w:rPr>
              <w:t>投标文件中说明装修采用材料性能情况，评分为：优得</w:t>
            </w:r>
            <w:r>
              <w:rPr>
                <w:rFonts w:ascii="宋体" w:hAnsi="宋体" w:eastAsia="宋体" w:cs="Times New Roman"/>
                <w:szCs w:val="21"/>
              </w:rPr>
              <w:t>6</w:t>
            </w:r>
            <w:r>
              <w:rPr>
                <w:rFonts w:hint="eastAsia" w:ascii="宋体" w:hAnsi="宋体" w:eastAsia="宋体" w:cs="Times New Roman"/>
                <w:szCs w:val="21"/>
              </w:rPr>
              <w:t>分，良</w:t>
            </w:r>
            <w:r>
              <w:rPr>
                <w:rFonts w:ascii="宋体" w:hAnsi="宋体" w:eastAsia="宋体" w:cs="Times New Roman"/>
                <w:szCs w:val="21"/>
              </w:rPr>
              <w:t>5</w:t>
            </w:r>
            <w:r>
              <w:rPr>
                <w:rFonts w:hint="eastAsia" w:ascii="宋体" w:hAnsi="宋体" w:eastAsia="宋体" w:cs="Times New Roman"/>
                <w:szCs w:val="21"/>
              </w:rPr>
              <w:t>分，中</w:t>
            </w:r>
            <w:r>
              <w:rPr>
                <w:rFonts w:ascii="宋体" w:hAnsi="宋体" w:eastAsia="宋体" w:cs="Times New Roman"/>
                <w:szCs w:val="21"/>
              </w:rPr>
              <w:t>3-4</w:t>
            </w:r>
            <w:r>
              <w:rPr>
                <w:rFonts w:hint="eastAsia" w:ascii="宋体" w:hAnsi="宋体" w:eastAsia="宋体" w:cs="Times New Roman"/>
                <w:szCs w:val="21"/>
              </w:rPr>
              <w:t>分，差得0</w:t>
            </w:r>
            <w:r>
              <w:rPr>
                <w:rFonts w:ascii="宋体" w:hAnsi="宋体" w:eastAsia="宋体" w:cs="Times New Roman"/>
                <w:szCs w:val="21"/>
              </w:rPr>
              <w:t>-2</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8</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现场保护</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4</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在投标文件中说明现场保护情况，评分为：优得</w:t>
            </w:r>
            <w:r>
              <w:rPr>
                <w:rFonts w:ascii="宋体" w:hAnsi="宋体" w:eastAsia="宋体" w:cs="Times New Roman"/>
                <w:szCs w:val="21"/>
              </w:rPr>
              <w:t>4</w:t>
            </w:r>
            <w:r>
              <w:rPr>
                <w:rFonts w:hint="eastAsia" w:ascii="宋体" w:hAnsi="宋体" w:eastAsia="宋体" w:cs="Times New Roman"/>
                <w:szCs w:val="21"/>
              </w:rPr>
              <w:t>分，良</w:t>
            </w:r>
            <w:r>
              <w:rPr>
                <w:rFonts w:ascii="宋体" w:hAnsi="宋体" w:eastAsia="宋体" w:cs="Times New Roman"/>
                <w:szCs w:val="21"/>
              </w:rPr>
              <w:t>3</w:t>
            </w:r>
            <w:r>
              <w:rPr>
                <w:rFonts w:hint="eastAsia" w:ascii="宋体" w:hAnsi="宋体" w:eastAsia="宋体" w:cs="Times New Roman"/>
                <w:szCs w:val="21"/>
              </w:rPr>
              <w:t>分，中</w:t>
            </w:r>
            <w:r>
              <w:rPr>
                <w:rFonts w:ascii="宋体" w:hAnsi="宋体" w:eastAsia="宋体" w:cs="Times New Roman"/>
                <w:szCs w:val="21"/>
              </w:rPr>
              <w:t>2</w:t>
            </w:r>
            <w:r>
              <w:rPr>
                <w:rFonts w:hint="eastAsia" w:ascii="宋体" w:hAnsi="宋体" w:eastAsia="宋体" w:cs="Times New Roman"/>
                <w:szCs w:val="21"/>
              </w:rPr>
              <w:t>分，差得0</w:t>
            </w:r>
            <w:r>
              <w:rPr>
                <w:rFonts w:ascii="宋体" w:hAnsi="宋体" w:eastAsia="宋体" w:cs="Times New Roman"/>
                <w:szCs w:val="21"/>
              </w:rPr>
              <w:t>-1</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shd w:val="clear" w:color="auto" w:fill="auto"/>
            <w:vAlign w:val="center"/>
          </w:tcPr>
          <w:p>
            <w:pPr>
              <w:ind w:leftChars="-13" w:hanging="27" w:hangingChars="13"/>
              <w:jc w:val="center"/>
              <w:rPr>
                <w:rFonts w:ascii="宋体" w:hAnsi="宋体" w:eastAsia="宋体" w:cs="Times New Roman"/>
                <w:szCs w:val="21"/>
              </w:rPr>
            </w:pPr>
            <w:r>
              <w:rPr>
                <w:rFonts w:ascii="宋体" w:hAnsi="宋体" w:eastAsia="宋体" w:cs="Times New Roman"/>
                <w:szCs w:val="21"/>
              </w:rPr>
              <w:t>3</w:t>
            </w:r>
          </w:p>
        </w:tc>
        <w:tc>
          <w:tcPr>
            <w:tcW w:w="4536" w:type="dxa"/>
            <w:gridSpan w:val="4"/>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综合实力部分</w:t>
            </w:r>
          </w:p>
        </w:tc>
        <w:tc>
          <w:tcPr>
            <w:tcW w:w="3255" w:type="dxa"/>
            <w:shd w:val="clear" w:color="auto" w:fill="auto"/>
            <w:vAlign w:val="center"/>
          </w:tcPr>
          <w:p>
            <w:pPr>
              <w:ind w:right="-63" w:rightChars="-30"/>
              <w:jc w:val="center"/>
              <w:rPr>
                <w:rFonts w:ascii="宋体" w:hAnsi="宋体" w:eastAsia="宋体" w:cs="Times New Roman"/>
                <w:szCs w:val="21"/>
              </w:rPr>
            </w:pPr>
            <w:r>
              <w:rPr>
                <w:rFonts w:ascii="宋体" w:hAnsi="宋体"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4" w:type="dxa"/>
            <w:vMerge w:val="restart"/>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评分因素</w:t>
            </w:r>
          </w:p>
        </w:tc>
        <w:tc>
          <w:tcPr>
            <w:tcW w:w="709"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权重</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评分方式</w:t>
            </w:r>
          </w:p>
        </w:tc>
        <w:tc>
          <w:tcPr>
            <w:tcW w:w="3255" w:type="dxa"/>
            <w:shd w:val="clear" w:color="auto" w:fill="auto"/>
            <w:vAlign w:val="center"/>
          </w:tcPr>
          <w:p>
            <w:pPr>
              <w:ind w:right="-63" w:rightChars="-30"/>
              <w:jc w:val="center"/>
              <w:rPr>
                <w:rFonts w:ascii="宋体" w:hAnsi="宋体" w:eastAsia="宋体" w:cs="Times New Roman"/>
                <w:szCs w:val="21"/>
              </w:rPr>
            </w:pPr>
            <w:r>
              <w:rPr>
                <w:rFonts w:hint="eastAsia" w:ascii="宋体" w:hAnsi="宋体" w:eastAsia="宋体" w:cs="Times New Roman"/>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w:t>
            </w:r>
          </w:p>
        </w:tc>
        <w:tc>
          <w:tcPr>
            <w:tcW w:w="198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安全</w:t>
            </w:r>
            <w:r>
              <w:rPr>
                <w:rFonts w:ascii="宋体" w:hAnsi="宋体" w:eastAsia="宋体" w:cs="Times New Roman"/>
                <w:szCs w:val="21"/>
              </w:rPr>
              <w:t>生产</w:t>
            </w:r>
            <w:r>
              <w:rPr>
                <w:rFonts w:hint="eastAsia" w:ascii="宋体" w:hAnsi="宋体" w:eastAsia="宋体" w:cs="Times New Roman"/>
                <w:szCs w:val="21"/>
              </w:rPr>
              <w:t>资质</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3</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numPr>
                <w:ilvl w:val="12"/>
                <w:numId w:val="0"/>
              </w:num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依据投标方提供安全生产资质打分，提供得</w:t>
            </w:r>
            <w:r>
              <w:rPr>
                <w:rFonts w:ascii="宋体" w:hAnsi="宋体" w:eastAsia="宋体" w:cs="Times New Roman"/>
                <w:szCs w:val="21"/>
              </w:rPr>
              <w:t>3</w:t>
            </w:r>
            <w:r>
              <w:rPr>
                <w:rFonts w:hint="eastAsia" w:ascii="宋体" w:hAnsi="宋体" w:eastAsia="宋体" w:cs="Times New Roman"/>
                <w:szCs w:val="21"/>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04" w:type="dxa"/>
            <w:vMerge w:val="continue"/>
            <w:shd w:val="clear" w:color="auto" w:fill="auto"/>
            <w:vAlign w:val="center"/>
          </w:tcPr>
          <w:p>
            <w:pPr>
              <w:ind w:leftChars="-13" w:hanging="27" w:hangingChars="13"/>
              <w:jc w:val="center"/>
              <w:rPr>
                <w:rFonts w:ascii="宋体" w:hAnsi="宋体" w:eastAsia="宋体" w:cs="Times New Roman"/>
                <w:szCs w:val="21"/>
              </w:rPr>
            </w:pP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2</w:t>
            </w:r>
          </w:p>
        </w:tc>
        <w:tc>
          <w:tcPr>
            <w:tcW w:w="1984"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工程设计相关资质</w:t>
            </w:r>
          </w:p>
        </w:tc>
        <w:tc>
          <w:tcPr>
            <w:tcW w:w="709"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3</w:t>
            </w:r>
          </w:p>
        </w:tc>
        <w:tc>
          <w:tcPr>
            <w:tcW w:w="1134"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评标小组成员打分</w:t>
            </w:r>
          </w:p>
        </w:tc>
        <w:tc>
          <w:tcPr>
            <w:tcW w:w="3255" w:type="dxa"/>
            <w:shd w:val="clear" w:color="auto" w:fill="auto"/>
            <w:vAlign w:val="center"/>
          </w:tcPr>
          <w:p>
            <w:pPr>
              <w:numPr>
                <w:ilvl w:val="12"/>
                <w:numId w:val="0"/>
              </w:numPr>
              <w:adjustRightInd w:val="0"/>
              <w:snapToGrid w:val="0"/>
              <w:ind w:right="-63" w:rightChars="-30"/>
              <w:jc w:val="left"/>
              <w:rPr>
                <w:rFonts w:ascii="宋体" w:hAnsi="宋体" w:eastAsia="宋体" w:cs="Times New Roman"/>
                <w:szCs w:val="21"/>
              </w:rPr>
            </w:pPr>
            <w:r>
              <w:rPr>
                <w:rFonts w:hint="eastAsia" w:ascii="宋体" w:hAnsi="宋体" w:eastAsia="宋体" w:cs="Times New Roman"/>
                <w:szCs w:val="21"/>
              </w:rPr>
              <w:t>依据投标方提供</w:t>
            </w:r>
            <w:r>
              <w:rPr>
                <w:rFonts w:ascii="宋体" w:hAnsi="宋体" w:eastAsia="宋体" w:cs="Times New Roman"/>
                <w:szCs w:val="21"/>
              </w:rPr>
              <w:t>工程设计相关资质</w:t>
            </w:r>
            <w:r>
              <w:rPr>
                <w:rFonts w:hint="eastAsia" w:ascii="宋体" w:hAnsi="宋体" w:eastAsia="宋体" w:cs="Times New Roman"/>
                <w:szCs w:val="21"/>
              </w:rPr>
              <w:t>打分，提供得</w:t>
            </w:r>
            <w:r>
              <w:rPr>
                <w:rFonts w:ascii="宋体" w:hAnsi="宋体" w:eastAsia="宋体" w:cs="Times New Roman"/>
                <w:szCs w:val="21"/>
              </w:rPr>
              <w:t>3</w:t>
            </w:r>
            <w:r>
              <w:rPr>
                <w:rFonts w:hint="eastAsia" w:ascii="宋体" w:hAnsi="宋体" w:eastAsia="宋体" w:cs="Times New Roman"/>
                <w:szCs w:val="21"/>
              </w:rPr>
              <w:t>，未提供得0分</w:t>
            </w:r>
          </w:p>
        </w:tc>
      </w:tr>
    </w:tbl>
    <w:p>
      <w:pPr>
        <w:pStyle w:val="2"/>
        <w:numPr>
          <w:ilvl w:val="0"/>
          <w:numId w:val="0"/>
        </w:numPr>
        <w:tabs>
          <w:tab w:val="left" w:pos="709"/>
        </w:tabs>
        <w:adjustRightInd w:val="0"/>
        <w:snapToGrid w:val="0"/>
        <w:spacing w:before="0" w:after="0" w:line="560" w:lineRule="exact"/>
        <w:rPr>
          <w:rFonts w:hint="eastAsia" w:ascii="黑体" w:hAnsi="黑体" w:eastAsia="黑体" w:cs="黑体"/>
          <w:b w:val="0"/>
          <w:bCs w:val="0"/>
          <w:lang w:val="en-US" w:eastAsia="zh-CN"/>
        </w:rPr>
      </w:pPr>
    </w:p>
    <w:p>
      <w:pPr>
        <w:pStyle w:val="2"/>
        <w:numPr>
          <w:ilvl w:val="0"/>
          <w:numId w:val="0"/>
        </w:numPr>
        <w:tabs>
          <w:tab w:val="left" w:pos="709"/>
        </w:tabs>
        <w:adjustRightInd w:val="0"/>
        <w:snapToGrid w:val="0"/>
        <w:spacing w:before="0" w:after="0" w:line="560" w:lineRule="exact"/>
        <w:rPr>
          <w:rFonts w:hint="eastAsia" w:ascii="黑体" w:hAnsi="黑体" w:eastAsia="黑体" w:cs="黑体"/>
          <w:b w:val="0"/>
          <w:bCs w:val="0"/>
        </w:rPr>
      </w:pPr>
      <w:r>
        <w:rPr>
          <w:rFonts w:hint="eastAsia" w:ascii="黑体" w:hAnsi="黑体" w:eastAsia="黑体" w:cs="黑体"/>
          <w:b w:val="0"/>
          <w:bCs w:val="0"/>
          <w:lang w:val="en-US" w:eastAsia="zh-CN"/>
        </w:rPr>
        <w:t>八、</w:t>
      </w:r>
      <w:r>
        <w:rPr>
          <w:rFonts w:hint="eastAsia" w:ascii="黑体" w:hAnsi="黑体" w:eastAsia="黑体" w:cs="黑体"/>
          <w:b w:val="0"/>
          <w:bCs w:val="0"/>
        </w:rPr>
        <w:t>招标文件的修改、解释：</w:t>
      </w:r>
    </w:p>
    <w:p>
      <w:pPr>
        <w:tabs>
          <w:tab w:val="left" w:pos="882"/>
          <w:tab w:val="left" w:pos="993"/>
        </w:tabs>
        <w:adjustRightInd w:val="0"/>
        <w:snapToGrid w:val="0"/>
        <w:spacing w:line="560" w:lineRule="exact"/>
        <w:ind w:firstLine="672" w:firstLineChars="210"/>
        <w:rPr>
          <w:rFonts w:ascii="仿宋" w:hAnsi="仿宋" w:eastAsia="仿宋"/>
          <w:sz w:val="32"/>
          <w:szCs w:val="32"/>
        </w:rPr>
      </w:pPr>
      <w:r>
        <w:rPr>
          <w:rFonts w:ascii="仿宋" w:hAnsi="仿宋" w:eastAsia="仿宋"/>
          <w:sz w:val="32"/>
          <w:szCs w:val="32"/>
        </w:rPr>
        <w:t>1.在开标前3日内，招标人有权对本招标文件进行修改，修改内容作为招标文件的组成部分，相应内容以修改后的内容执行；</w:t>
      </w:r>
    </w:p>
    <w:p>
      <w:pPr>
        <w:tabs>
          <w:tab w:val="left" w:pos="882"/>
          <w:tab w:val="left" w:pos="993"/>
        </w:tabs>
        <w:adjustRightInd w:val="0"/>
        <w:snapToGrid w:val="0"/>
        <w:spacing w:line="560" w:lineRule="exact"/>
        <w:ind w:firstLine="672" w:firstLineChars="210"/>
        <w:rPr>
          <w:rFonts w:ascii="仿宋" w:hAnsi="仿宋" w:eastAsia="仿宋"/>
          <w:sz w:val="32"/>
          <w:szCs w:val="32"/>
        </w:rPr>
      </w:pPr>
      <w:r>
        <w:rPr>
          <w:rFonts w:ascii="仿宋" w:hAnsi="仿宋" w:eastAsia="仿宋"/>
          <w:sz w:val="32"/>
          <w:szCs w:val="32"/>
        </w:rPr>
        <w:t>2.投标人应认真阅读招标文件中所有要求，如果投标人编制的投标文件，不能响应和满足本须知的要求，其投标文件将被招标人视为无效标书，责任由投标人自负；</w:t>
      </w:r>
    </w:p>
    <w:p>
      <w:pPr>
        <w:tabs>
          <w:tab w:val="left" w:pos="882"/>
          <w:tab w:val="left" w:pos="993"/>
        </w:tabs>
        <w:adjustRightInd w:val="0"/>
        <w:snapToGrid w:val="0"/>
        <w:spacing w:line="560" w:lineRule="exact"/>
        <w:ind w:firstLine="672" w:firstLineChars="210"/>
        <w:rPr>
          <w:rFonts w:ascii="仿宋" w:hAnsi="仿宋" w:eastAsia="仿宋"/>
          <w:sz w:val="32"/>
          <w:szCs w:val="32"/>
        </w:rPr>
      </w:pPr>
      <w:r>
        <w:rPr>
          <w:rFonts w:ascii="仿宋" w:hAnsi="仿宋" w:eastAsia="仿宋"/>
          <w:sz w:val="32"/>
          <w:szCs w:val="32"/>
        </w:rPr>
        <w:t>3.招标文件解释权归招标人。</w:t>
      </w:r>
    </w:p>
    <w:p>
      <w:pPr>
        <w:tabs>
          <w:tab w:val="left" w:pos="882"/>
          <w:tab w:val="left" w:pos="993"/>
        </w:tabs>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投开标日期安排：</w:t>
      </w:r>
    </w:p>
    <w:p>
      <w:pPr>
        <w:tabs>
          <w:tab w:val="left" w:pos="882"/>
          <w:tab w:val="left" w:pos="993"/>
        </w:tabs>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1.招标及投标文件提交时间</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2024</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15</w:t>
      </w:r>
      <w:r>
        <w:rPr>
          <w:rFonts w:hint="eastAsia" w:ascii="仿宋" w:hAnsi="仿宋" w:eastAsia="仿宋" w:cs="仿宋"/>
          <w:sz w:val="32"/>
          <w:szCs w:val="32"/>
          <w:u w:val="single"/>
        </w:rPr>
        <w:t xml:space="preserve"> </w:t>
      </w:r>
      <w:r>
        <w:rPr>
          <w:rFonts w:hint="eastAsia" w:ascii="仿宋" w:hAnsi="仿宋" w:eastAsia="仿宋" w:cs="仿宋"/>
          <w:sz w:val="32"/>
          <w:szCs w:val="32"/>
        </w:rPr>
        <w:t>日起至</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2024</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4</w:t>
      </w:r>
      <w:r>
        <w:rPr>
          <w:rFonts w:hint="eastAsia" w:ascii="仿宋" w:hAnsi="仿宋" w:eastAsia="仿宋" w:cs="仿宋"/>
          <w:i w:val="0"/>
          <w:iCs w:val="0"/>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23 </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:00时截止</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开标、评标时间：</w:t>
      </w:r>
      <w:r>
        <w:rPr>
          <w:rFonts w:hint="eastAsia" w:ascii="仿宋" w:hAnsi="仿宋" w:eastAsia="仿宋" w:cs="仿宋"/>
          <w:sz w:val="32"/>
          <w:szCs w:val="32"/>
          <w:u w:val="single"/>
          <w:lang w:val="en-US" w:eastAsia="zh-CN"/>
        </w:rPr>
        <w:t xml:space="preserve"> 2024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4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25 </w:t>
      </w:r>
      <w:r>
        <w:rPr>
          <w:rFonts w:hint="eastAsia" w:ascii="仿宋" w:hAnsi="仿宋" w:eastAsia="仿宋" w:cs="仿宋"/>
          <w:sz w:val="32"/>
          <w:szCs w:val="32"/>
        </w:rPr>
        <w:t>日上午</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cs="仿宋"/>
          <w:sz w:val="32"/>
          <w:szCs w:val="32"/>
        </w:rPr>
        <w:t>开标地点：</w:t>
      </w:r>
      <w:r>
        <w:rPr>
          <w:rFonts w:hint="eastAsia" w:ascii="仿宋" w:hAnsi="仿宋" w:eastAsia="仿宋" w:cs="仿宋"/>
          <w:sz w:val="32"/>
          <w:szCs w:val="32"/>
          <w:lang w:val="en-US" w:eastAsia="zh-CN"/>
        </w:rPr>
        <w:t>深圳市南山区桑达科技大厦六楼603室</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中标及公示：</w:t>
      </w:r>
    </w:p>
    <w:p>
      <w:pPr>
        <w:tabs>
          <w:tab w:val="left" w:pos="851"/>
          <w:tab w:val="left" w:pos="993"/>
          <w:tab w:val="left" w:pos="1134"/>
        </w:tabs>
        <w:adjustRightInd w:val="0"/>
        <w:snapToGrid w:val="0"/>
        <w:spacing w:line="560" w:lineRule="exact"/>
        <w:ind w:firstLine="736" w:firstLineChars="230"/>
        <w:rPr>
          <w:rFonts w:ascii="仿宋" w:hAnsi="仿宋" w:eastAsia="仿宋"/>
          <w:sz w:val="32"/>
          <w:szCs w:val="32"/>
        </w:rPr>
      </w:pPr>
      <w:r>
        <w:rPr>
          <w:rFonts w:ascii="仿宋" w:hAnsi="仿宋" w:eastAsia="仿宋"/>
          <w:sz w:val="32"/>
          <w:szCs w:val="32"/>
        </w:rPr>
        <w:t>1.确定中标单位后，我单位将中标结果在</w:t>
      </w:r>
      <w:r>
        <w:rPr>
          <w:rFonts w:hint="eastAsia" w:ascii="仿宋" w:hAnsi="仿宋" w:eastAsia="仿宋"/>
          <w:sz w:val="32"/>
          <w:szCs w:val="32"/>
        </w:rPr>
        <w:t>本单位网站中公示</w:t>
      </w:r>
      <w:r>
        <w:rPr>
          <w:rFonts w:ascii="仿宋" w:hAnsi="仿宋" w:eastAsia="仿宋"/>
          <w:sz w:val="32"/>
          <w:szCs w:val="32"/>
        </w:rPr>
        <w:t>并通知投标人，公示期为</w:t>
      </w:r>
      <w:r>
        <w:rPr>
          <w:rFonts w:hint="eastAsia" w:ascii="仿宋" w:hAnsi="仿宋" w:eastAsia="仿宋"/>
          <w:sz w:val="32"/>
          <w:szCs w:val="32"/>
        </w:rPr>
        <w:t>3</w:t>
      </w:r>
      <w:r>
        <w:rPr>
          <w:rFonts w:ascii="仿宋" w:hAnsi="仿宋" w:eastAsia="仿宋"/>
          <w:sz w:val="32"/>
          <w:szCs w:val="32"/>
        </w:rPr>
        <w:t>天；</w:t>
      </w:r>
    </w:p>
    <w:p>
      <w:pPr>
        <w:tabs>
          <w:tab w:val="left" w:pos="851"/>
          <w:tab w:val="left" w:pos="993"/>
          <w:tab w:val="left" w:pos="1134"/>
        </w:tabs>
        <w:adjustRightInd w:val="0"/>
        <w:snapToGrid w:val="0"/>
        <w:spacing w:line="560" w:lineRule="exact"/>
        <w:ind w:firstLine="736" w:firstLineChars="2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在公示期满并无异议后，招标方将5</w:t>
      </w:r>
      <w:r>
        <w:rPr>
          <w:rFonts w:hint="eastAsia" w:ascii="仿宋" w:hAnsi="仿宋" w:eastAsia="仿宋"/>
          <w:sz w:val="32"/>
          <w:szCs w:val="32"/>
        </w:rPr>
        <w:t>个工作日内向中标人发出《中标通知书》，招标方不得改变中标结果，中标方无正当理由不得放弃中标；</w:t>
      </w:r>
    </w:p>
    <w:p>
      <w:pPr>
        <w:tabs>
          <w:tab w:val="left" w:pos="851"/>
          <w:tab w:val="left" w:pos="993"/>
          <w:tab w:val="left" w:pos="1134"/>
        </w:tabs>
        <w:adjustRightInd w:val="0"/>
        <w:snapToGrid w:val="0"/>
        <w:spacing w:line="560" w:lineRule="exact"/>
        <w:ind w:firstLine="736" w:firstLineChars="23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招标方正式通知中标方后，双方在10</w:t>
      </w:r>
      <w:r>
        <w:rPr>
          <w:rFonts w:hint="eastAsia" w:ascii="仿宋" w:hAnsi="仿宋" w:eastAsia="仿宋"/>
          <w:sz w:val="32"/>
          <w:szCs w:val="32"/>
        </w:rPr>
        <w:t>个工作日内招标单位与中标单位在约定时间和地点，根据相关法律法规，依据本次招、投标文件内容，正式签定合同。</w:t>
      </w:r>
    </w:p>
    <w:p>
      <w:pPr>
        <w:pStyle w:val="15"/>
        <w:ind w:left="-2" w:leftChars="-1" w:firstLine="0" w:firstLineChars="0"/>
        <w:jc w:val="left"/>
        <w:rPr>
          <w:rFonts w:hint="eastAsia"/>
          <w:sz w:val="32"/>
        </w:rPr>
      </w:pPr>
    </w:p>
    <w:p>
      <w:pPr>
        <w:pStyle w:val="15"/>
        <w:ind w:left="-2" w:leftChars="-1" w:firstLine="0" w:firstLineChars="0"/>
        <w:jc w:val="left"/>
        <w:rPr>
          <w:sz w:val="32"/>
        </w:rPr>
      </w:pPr>
      <w:r>
        <w:rPr>
          <w:rFonts w:hint="eastAsia"/>
          <w:sz w:val="32"/>
        </w:rPr>
        <w:t>附件：</w:t>
      </w:r>
    </w:p>
    <w:p>
      <w:pPr>
        <w:pStyle w:val="15"/>
        <w:adjustRightInd w:val="0"/>
        <w:snapToGrid w:val="0"/>
        <w:spacing w:before="156" w:beforeLines="50"/>
        <w:ind w:left="-2" w:leftChars="-1" w:firstLine="0" w:firstLineChars="0"/>
        <w:jc w:val="center"/>
        <w:rPr>
          <w:b/>
          <w:sz w:val="44"/>
        </w:rPr>
      </w:pPr>
      <w:r>
        <w:rPr>
          <w:b/>
          <w:sz w:val="44"/>
        </w:rPr>
        <w:t>承</w:t>
      </w:r>
      <w:r>
        <w:rPr>
          <w:rFonts w:hint="eastAsia"/>
          <w:b/>
          <w:sz w:val="44"/>
        </w:rPr>
        <w:t xml:space="preserve"> </w:t>
      </w:r>
      <w:r>
        <w:rPr>
          <w:b/>
          <w:sz w:val="44"/>
        </w:rPr>
        <w:t xml:space="preserve"> 诺</w:t>
      </w:r>
      <w:r>
        <w:rPr>
          <w:rFonts w:hint="eastAsia"/>
          <w:b/>
          <w:sz w:val="44"/>
        </w:rPr>
        <w:t xml:space="preserve"> </w:t>
      </w:r>
      <w:r>
        <w:rPr>
          <w:b/>
          <w:sz w:val="44"/>
        </w:rPr>
        <w:t xml:space="preserve"> 书</w:t>
      </w:r>
    </w:p>
    <w:p>
      <w:pPr>
        <w:pStyle w:val="15"/>
        <w:adjustRightInd w:val="0"/>
        <w:snapToGrid w:val="0"/>
        <w:spacing w:line="360" w:lineRule="auto"/>
        <w:ind w:left="-2" w:leftChars="-1" w:right="-21" w:rightChars="-10" w:firstLine="2" w:firstLineChars="0"/>
        <w:jc w:val="left"/>
        <w:rPr>
          <w:rFonts w:ascii="仿宋" w:hAnsi="仿宋" w:eastAsia="仿宋"/>
          <w:sz w:val="11"/>
          <w:szCs w:val="28"/>
        </w:rPr>
      </w:pP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60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深圳市半导体行业协会</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我单位全面研究了贵单位的</w:t>
      </w:r>
      <w:r>
        <w:rPr>
          <w:rFonts w:hint="eastAsia" w:ascii="仿宋" w:hAnsi="仿宋" w:eastAsia="仿宋" w:cs="仿宋"/>
          <w:sz w:val="32"/>
          <w:szCs w:val="32"/>
          <w:u w:val="single"/>
          <w:lang w:val="en-US" w:eastAsia="zh-CN"/>
        </w:rPr>
        <w:t xml:space="preserve"> 桑达科技大厦10楼1001</w:t>
      </w:r>
      <w:r>
        <w:rPr>
          <w:rFonts w:hint="eastAsia" w:ascii="仿宋" w:hAnsi="仿宋" w:eastAsia="仿宋" w:cs="仿宋"/>
          <w:sz w:val="32"/>
          <w:szCs w:val="32"/>
          <w:u w:val="single"/>
        </w:rPr>
        <w:t xml:space="preserve">装修工程 </w:t>
      </w:r>
      <w:r>
        <w:rPr>
          <w:rFonts w:hint="eastAsia" w:ascii="仿宋" w:hAnsi="仿宋" w:eastAsia="仿宋" w:cs="仿宋"/>
          <w:sz w:val="32"/>
          <w:szCs w:val="32"/>
        </w:rPr>
        <w:t>项目招标文件及附件，我们承诺将按招标文件中的所有规定对合同的完成承担全部责任和义务。</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现递交我单位投标文件正本1份，副本</w:t>
      </w:r>
      <w:r>
        <w:rPr>
          <w:rFonts w:hint="eastAsia" w:ascii="仿宋" w:hAnsi="仿宋" w:eastAsia="仿宋" w:cs="仿宋"/>
          <w:sz w:val="32"/>
          <w:szCs w:val="32"/>
          <w:lang w:val="en-US" w:eastAsia="zh-CN"/>
        </w:rPr>
        <w:t>2</w:t>
      </w:r>
      <w:r>
        <w:rPr>
          <w:rFonts w:hint="eastAsia" w:ascii="仿宋" w:hAnsi="仿宋" w:eastAsia="仿宋" w:cs="仿宋"/>
          <w:sz w:val="32"/>
          <w:szCs w:val="32"/>
        </w:rPr>
        <w:t>份。</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我们完全同意招标方按综合得分的高低，根据相关法规确定中标单位的要求，我们承诺自行承担为投标所发生的一切费用。</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我们完全同意，我们所递交的投标文件已充分考虑了各种外部因素对报价的影响；同意投标文件规定的投标截止时间。</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我们承诺对我方所提交的相关资质、文件及说明材料的真实性承担法律责任。</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我们完全认可招标文件中对投标方的要求。</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r>
        <w:rPr>
          <w:rFonts w:hint="eastAsia" w:ascii="仿宋" w:hAnsi="仿宋" w:eastAsia="仿宋" w:cs="仿宋"/>
          <w:sz w:val="32"/>
          <w:szCs w:val="32"/>
        </w:rPr>
        <w:t>如果我单位中标，我们完全同意招标单位拟定的项目价款结算和拔付方式，同意将我单位的承诺报价及所有内容做为结算的依据。</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480" w:lineRule="exact"/>
        <w:ind w:left="0" w:leftChars="0" w:right="-21" w:rightChars="-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投标单位：（盖章）</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0" w:leftChars="0" w:right="-21" w:rightChars="-1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投标单位法定代表人：（签字或盖章）</w:t>
      </w:r>
    </w:p>
    <w:p>
      <w:pPr>
        <w:pStyle w:val="15"/>
        <w:keepNext w:val="0"/>
        <w:keepLines w:val="0"/>
        <w:pageBreakBefore w:val="0"/>
        <w:widowControl w:val="0"/>
        <w:kinsoku/>
        <w:wordWrap/>
        <w:overflowPunct/>
        <w:topLinePunct w:val="0"/>
        <w:autoSpaceDE/>
        <w:autoSpaceDN/>
        <w:bidi w:val="0"/>
        <w:adjustRightInd w:val="0"/>
        <w:snapToGrid w:val="0"/>
        <w:spacing w:line="480" w:lineRule="exact"/>
        <w:ind w:right="-21" w:rightChars="-10"/>
        <w:textAlignment w:val="auto"/>
        <w:rPr>
          <w:rFonts w:hint="eastAsia" w:ascii="仿宋" w:hAnsi="仿宋" w:eastAsia="仿宋" w:cs="仿宋"/>
          <w:sz w:val="32"/>
          <w:szCs w:val="32"/>
        </w:rPr>
      </w:pPr>
      <w:r>
        <w:rPr>
          <w:rFonts w:hint="eastAsia" w:ascii="仿宋" w:hAnsi="仿宋" w:eastAsia="仿宋" w:cs="仿宋"/>
          <w:sz w:val="32"/>
          <w:szCs w:val="32"/>
        </w:rPr>
        <w:t>委托代理人：</w:t>
      </w:r>
    </w:p>
    <w:p>
      <w:pPr>
        <w:pStyle w:val="15"/>
        <w:keepNext w:val="0"/>
        <w:keepLines w:val="0"/>
        <w:pageBreakBefore w:val="0"/>
        <w:widowControl w:val="0"/>
        <w:kinsoku/>
        <w:wordWrap/>
        <w:overflowPunct/>
        <w:topLinePunct w:val="0"/>
        <w:autoSpaceDE/>
        <w:autoSpaceDN/>
        <w:bidi w:val="0"/>
        <w:adjustRightInd w:val="0"/>
        <w:snapToGrid w:val="0"/>
        <w:spacing w:line="480" w:lineRule="exact"/>
        <w:ind w:right="-21" w:rightChars="-10"/>
        <w:textAlignment w:val="auto"/>
        <w:rPr>
          <w:rFonts w:hint="eastAsia" w:ascii="仿宋" w:hAnsi="仿宋" w:eastAsia="仿宋" w:cs="仿宋"/>
          <w:sz w:val="32"/>
          <w:szCs w:val="32"/>
        </w:rPr>
      </w:pPr>
      <w:r>
        <w:rPr>
          <w:rFonts w:hint="eastAsia" w:ascii="仿宋" w:hAnsi="仿宋" w:eastAsia="仿宋" w:cs="仿宋"/>
          <w:sz w:val="32"/>
          <w:szCs w:val="32"/>
        </w:rPr>
        <w:t>投标单位地址：</w:t>
      </w:r>
    </w:p>
    <w:p>
      <w:pPr>
        <w:pStyle w:val="15"/>
        <w:keepNext w:val="0"/>
        <w:keepLines w:val="0"/>
        <w:pageBreakBefore w:val="0"/>
        <w:widowControl w:val="0"/>
        <w:kinsoku/>
        <w:wordWrap/>
        <w:overflowPunct/>
        <w:topLinePunct w:val="0"/>
        <w:autoSpaceDE/>
        <w:autoSpaceDN/>
        <w:bidi w:val="0"/>
        <w:adjustRightInd w:val="0"/>
        <w:snapToGrid w:val="0"/>
        <w:spacing w:line="480" w:lineRule="exact"/>
        <w:ind w:right="-21" w:rightChars="-10"/>
        <w:textAlignment w:val="auto"/>
        <w:rPr>
          <w:rFonts w:hint="eastAsia" w:ascii="仿宋" w:hAnsi="仿宋" w:eastAsia="仿宋" w:cs="仿宋"/>
          <w:sz w:val="32"/>
          <w:szCs w:val="32"/>
        </w:rPr>
      </w:pPr>
      <w:r>
        <w:rPr>
          <w:rFonts w:hint="eastAsia" w:ascii="仿宋" w:hAnsi="仿宋" w:eastAsia="仿宋" w:cs="仿宋"/>
          <w:sz w:val="32"/>
          <w:szCs w:val="32"/>
        </w:rPr>
        <w:t>投标单位电话：</w:t>
      </w: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562" w:firstLineChars="0"/>
        <w:textAlignment w:val="auto"/>
        <w:rPr>
          <w:rFonts w:hint="eastAsia" w:ascii="仿宋" w:hAnsi="仿宋" w:eastAsia="仿宋" w:cs="仿宋"/>
          <w:sz w:val="32"/>
          <w:szCs w:val="32"/>
        </w:rPr>
      </w:pPr>
    </w:p>
    <w:p>
      <w:pPr>
        <w:pStyle w:val="15"/>
        <w:keepNext w:val="0"/>
        <w:keepLines w:val="0"/>
        <w:pageBreakBefore w:val="0"/>
        <w:widowControl w:val="0"/>
        <w:kinsoku/>
        <w:wordWrap/>
        <w:overflowPunct/>
        <w:topLinePunct w:val="0"/>
        <w:autoSpaceDE/>
        <w:autoSpaceDN/>
        <w:bidi w:val="0"/>
        <w:adjustRightInd w:val="0"/>
        <w:snapToGrid w:val="0"/>
        <w:spacing w:line="480" w:lineRule="exact"/>
        <w:ind w:left="-2" w:leftChars="-1" w:right="-21" w:rightChars="-10" w:firstLine="4860" w:firstLineChars="1519"/>
        <w:textAlignment w:val="auto"/>
        <w:rPr>
          <w:rFonts w:ascii="仿宋" w:hAnsi="仿宋" w:eastAsia="仿宋"/>
          <w:sz w:val="30"/>
          <w:szCs w:val="30"/>
        </w:rPr>
      </w:pPr>
      <w:r>
        <w:rPr>
          <w:rFonts w:hint="eastAsia" w:ascii="仿宋" w:hAnsi="仿宋" w:eastAsia="仿宋" w:cs="仿宋"/>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B46F2"/>
    <w:multiLevelType w:val="multilevel"/>
    <w:tmpl w:val="02DB46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194839"/>
    <w:multiLevelType w:val="multilevel"/>
    <w:tmpl w:val="2219483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4F63C0"/>
    <w:multiLevelType w:val="multilevel"/>
    <w:tmpl w:val="2A4F63C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D46F0C"/>
    <w:multiLevelType w:val="multilevel"/>
    <w:tmpl w:val="46D46F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7249BB"/>
    <w:multiLevelType w:val="multilevel"/>
    <w:tmpl w:val="7A7249BB"/>
    <w:lvl w:ilvl="0" w:tentative="0">
      <w:start w:val="1"/>
      <w:numFmt w:val="decimal"/>
      <w:lvlText w:val="%1)"/>
      <w:lvlJc w:val="left"/>
      <w:pPr>
        <w:ind w:left="780" w:hanging="360"/>
      </w:pPr>
      <w:rPr>
        <w:rFonts w:hint="eastAsia"/>
      </w:rPr>
    </w:lvl>
    <w:lvl w:ilvl="1" w:tentative="0">
      <w:start w:val="8"/>
      <w:numFmt w:val="japaneseCounting"/>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ZDZmNzEyYzExM2U0ZTFkYTFmYTFjZjJlNmJiZjkifQ=="/>
  </w:docVars>
  <w:rsids>
    <w:rsidRoot w:val="005354C5"/>
    <w:rsid w:val="00004924"/>
    <w:rsid w:val="0003490B"/>
    <w:rsid w:val="00043E12"/>
    <w:rsid w:val="00056986"/>
    <w:rsid w:val="0008050A"/>
    <w:rsid w:val="00092A2A"/>
    <w:rsid w:val="000C5824"/>
    <w:rsid w:val="000D1989"/>
    <w:rsid w:val="000F60B4"/>
    <w:rsid w:val="001053E7"/>
    <w:rsid w:val="00111049"/>
    <w:rsid w:val="0012223A"/>
    <w:rsid w:val="001566D6"/>
    <w:rsid w:val="00187026"/>
    <w:rsid w:val="001951A6"/>
    <w:rsid w:val="001B02BF"/>
    <w:rsid w:val="001B1B70"/>
    <w:rsid w:val="001C4E0C"/>
    <w:rsid w:val="001C682C"/>
    <w:rsid w:val="001D334B"/>
    <w:rsid w:val="001D5BAE"/>
    <w:rsid w:val="001D6730"/>
    <w:rsid w:val="001E6FE3"/>
    <w:rsid w:val="001E73DA"/>
    <w:rsid w:val="001F7566"/>
    <w:rsid w:val="00204342"/>
    <w:rsid w:val="00216809"/>
    <w:rsid w:val="002174A6"/>
    <w:rsid w:val="002224AA"/>
    <w:rsid w:val="00225F29"/>
    <w:rsid w:val="002309CA"/>
    <w:rsid w:val="00232280"/>
    <w:rsid w:val="002701CB"/>
    <w:rsid w:val="002A1BAD"/>
    <w:rsid w:val="002C28E6"/>
    <w:rsid w:val="002C531A"/>
    <w:rsid w:val="002C55AA"/>
    <w:rsid w:val="002E1D16"/>
    <w:rsid w:val="002E59C4"/>
    <w:rsid w:val="00304094"/>
    <w:rsid w:val="00305EC1"/>
    <w:rsid w:val="00310575"/>
    <w:rsid w:val="003139FF"/>
    <w:rsid w:val="003475D3"/>
    <w:rsid w:val="00352571"/>
    <w:rsid w:val="00370635"/>
    <w:rsid w:val="00381D79"/>
    <w:rsid w:val="0039084C"/>
    <w:rsid w:val="003A426C"/>
    <w:rsid w:val="003B11DA"/>
    <w:rsid w:val="003B62B7"/>
    <w:rsid w:val="003D35AE"/>
    <w:rsid w:val="003F1323"/>
    <w:rsid w:val="00404E95"/>
    <w:rsid w:val="004126B4"/>
    <w:rsid w:val="004129D2"/>
    <w:rsid w:val="00416AF0"/>
    <w:rsid w:val="004346BF"/>
    <w:rsid w:val="00451A27"/>
    <w:rsid w:val="004541F1"/>
    <w:rsid w:val="004574FA"/>
    <w:rsid w:val="004606F4"/>
    <w:rsid w:val="00466CFF"/>
    <w:rsid w:val="004735BB"/>
    <w:rsid w:val="00486B9C"/>
    <w:rsid w:val="004F2547"/>
    <w:rsid w:val="00502447"/>
    <w:rsid w:val="005354C5"/>
    <w:rsid w:val="0055507E"/>
    <w:rsid w:val="00555B3D"/>
    <w:rsid w:val="00576F20"/>
    <w:rsid w:val="005830B6"/>
    <w:rsid w:val="00600D79"/>
    <w:rsid w:val="00622119"/>
    <w:rsid w:val="0062694B"/>
    <w:rsid w:val="0062789D"/>
    <w:rsid w:val="0063555B"/>
    <w:rsid w:val="00663FCA"/>
    <w:rsid w:val="00664A82"/>
    <w:rsid w:val="00672BA1"/>
    <w:rsid w:val="006871A1"/>
    <w:rsid w:val="006A1FD7"/>
    <w:rsid w:val="006A59AD"/>
    <w:rsid w:val="006B0E06"/>
    <w:rsid w:val="006B5E6C"/>
    <w:rsid w:val="006C177F"/>
    <w:rsid w:val="006D2115"/>
    <w:rsid w:val="006F0AD2"/>
    <w:rsid w:val="0070172D"/>
    <w:rsid w:val="00702285"/>
    <w:rsid w:val="00707BBB"/>
    <w:rsid w:val="007206F6"/>
    <w:rsid w:val="00722602"/>
    <w:rsid w:val="00725ED6"/>
    <w:rsid w:val="00733A77"/>
    <w:rsid w:val="00735B43"/>
    <w:rsid w:val="00735F33"/>
    <w:rsid w:val="00745790"/>
    <w:rsid w:val="00756260"/>
    <w:rsid w:val="00762326"/>
    <w:rsid w:val="0076726A"/>
    <w:rsid w:val="0077013F"/>
    <w:rsid w:val="007807C7"/>
    <w:rsid w:val="00783943"/>
    <w:rsid w:val="00792D38"/>
    <w:rsid w:val="00792E39"/>
    <w:rsid w:val="007B5E1C"/>
    <w:rsid w:val="007C12A0"/>
    <w:rsid w:val="007C25C8"/>
    <w:rsid w:val="007D1246"/>
    <w:rsid w:val="007D2A0E"/>
    <w:rsid w:val="007D335D"/>
    <w:rsid w:val="007E61F8"/>
    <w:rsid w:val="007F1CCC"/>
    <w:rsid w:val="007F2AA2"/>
    <w:rsid w:val="008010CF"/>
    <w:rsid w:val="00811FD3"/>
    <w:rsid w:val="008123C6"/>
    <w:rsid w:val="0082026B"/>
    <w:rsid w:val="00830578"/>
    <w:rsid w:val="00861439"/>
    <w:rsid w:val="00882AB6"/>
    <w:rsid w:val="00883585"/>
    <w:rsid w:val="008866DF"/>
    <w:rsid w:val="00895D71"/>
    <w:rsid w:val="008A363D"/>
    <w:rsid w:val="008A70FB"/>
    <w:rsid w:val="008A7116"/>
    <w:rsid w:val="008B387C"/>
    <w:rsid w:val="008E0DE8"/>
    <w:rsid w:val="008E570D"/>
    <w:rsid w:val="008F01EF"/>
    <w:rsid w:val="008F7E3E"/>
    <w:rsid w:val="0090097D"/>
    <w:rsid w:val="0090122E"/>
    <w:rsid w:val="00902D5E"/>
    <w:rsid w:val="00913BB1"/>
    <w:rsid w:val="009147DE"/>
    <w:rsid w:val="00921E79"/>
    <w:rsid w:val="00925BB9"/>
    <w:rsid w:val="009675BD"/>
    <w:rsid w:val="009703FA"/>
    <w:rsid w:val="009857CC"/>
    <w:rsid w:val="0099673D"/>
    <w:rsid w:val="009B782D"/>
    <w:rsid w:val="009C4BF1"/>
    <w:rsid w:val="009D3501"/>
    <w:rsid w:val="009D4B6C"/>
    <w:rsid w:val="009E3941"/>
    <w:rsid w:val="00A12D6B"/>
    <w:rsid w:val="00A164D7"/>
    <w:rsid w:val="00A169F6"/>
    <w:rsid w:val="00A2222D"/>
    <w:rsid w:val="00A31EF1"/>
    <w:rsid w:val="00A44825"/>
    <w:rsid w:val="00A51A1A"/>
    <w:rsid w:val="00A62F15"/>
    <w:rsid w:val="00A646AB"/>
    <w:rsid w:val="00A70F50"/>
    <w:rsid w:val="00A7164B"/>
    <w:rsid w:val="00A73C7E"/>
    <w:rsid w:val="00A80DFC"/>
    <w:rsid w:val="00A86603"/>
    <w:rsid w:val="00A95AF1"/>
    <w:rsid w:val="00AA21E1"/>
    <w:rsid w:val="00AA245F"/>
    <w:rsid w:val="00AA72DD"/>
    <w:rsid w:val="00AB1775"/>
    <w:rsid w:val="00AB5CDC"/>
    <w:rsid w:val="00B00A20"/>
    <w:rsid w:val="00B12892"/>
    <w:rsid w:val="00B25690"/>
    <w:rsid w:val="00B26990"/>
    <w:rsid w:val="00B27A11"/>
    <w:rsid w:val="00B32B39"/>
    <w:rsid w:val="00B347F6"/>
    <w:rsid w:val="00B638BF"/>
    <w:rsid w:val="00B638C6"/>
    <w:rsid w:val="00B7357D"/>
    <w:rsid w:val="00B86A79"/>
    <w:rsid w:val="00BB44D2"/>
    <w:rsid w:val="00BC059A"/>
    <w:rsid w:val="00BC46A4"/>
    <w:rsid w:val="00BD180A"/>
    <w:rsid w:val="00BF2A5D"/>
    <w:rsid w:val="00BF3085"/>
    <w:rsid w:val="00BF46D8"/>
    <w:rsid w:val="00BF4925"/>
    <w:rsid w:val="00C10E6F"/>
    <w:rsid w:val="00C21729"/>
    <w:rsid w:val="00C2235B"/>
    <w:rsid w:val="00C25450"/>
    <w:rsid w:val="00C25D2B"/>
    <w:rsid w:val="00C5486B"/>
    <w:rsid w:val="00C668CE"/>
    <w:rsid w:val="00C66B55"/>
    <w:rsid w:val="00C800BA"/>
    <w:rsid w:val="00C81D71"/>
    <w:rsid w:val="00C940AA"/>
    <w:rsid w:val="00CA14EC"/>
    <w:rsid w:val="00CF29C9"/>
    <w:rsid w:val="00D02585"/>
    <w:rsid w:val="00D05423"/>
    <w:rsid w:val="00D16D54"/>
    <w:rsid w:val="00D21678"/>
    <w:rsid w:val="00D21D7A"/>
    <w:rsid w:val="00D8272F"/>
    <w:rsid w:val="00DC057B"/>
    <w:rsid w:val="00DE7518"/>
    <w:rsid w:val="00DF6751"/>
    <w:rsid w:val="00E03A7E"/>
    <w:rsid w:val="00E27726"/>
    <w:rsid w:val="00E35285"/>
    <w:rsid w:val="00E354E6"/>
    <w:rsid w:val="00E4427C"/>
    <w:rsid w:val="00E527C9"/>
    <w:rsid w:val="00E54D1F"/>
    <w:rsid w:val="00E55EC0"/>
    <w:rsid w:val="00E83E38"/>
    <w:rsid w:val="00E97D14"/>
    <w:rsid w:val="00EA2FB0"/>
    <w:rsid w:val="00EB4A79"/>
    <w:rsid w:val="00EB4D84"/>
    <w:rsid w:val="00ED08F7"/>
    <w:rsid w:val="00EF0015"/>
    <w:rsid w:val="00EF7C96"/>
    <w:rsid w:val="00F03181"/>
    <w:rsid w:val="00F12894"/>
    <w:rsid w:val="00F141EE"/>
    <w:rsid w:val="00F35FDD"/>
    <w:rsid w:val="00F428D4"/>
    <w:rsid w:val="00F66218"/>
    <w:rsid w:val="00F72AC3"/>
    <w:rsid w:val="00F73D35"/>
    <w:rsid w:val="00F9716F"/>
    <w:rsid w:val="00FA6BB2"/>
    <w:rsid w:val="00FC5F2F"/>
    <w:rsid w:val="00FD516E"/>
    <w:rsid w:val="00FE1018"/>
    <w:rsid w:val="02E609AF"/>
    <w:rsid w:val="0B0F526C"/>
    <w:rsid w:val="0F3C0B01"/>
    <w:rsid w:val="1CE64173"/>
    <w:rsid w:val="264E5848"/>
    <w:rsid w:val="2E34152D"/>
    <w:rsid w:val="34415FBD"/>
    <w:rsid w:val="37D460AD"/>
    <w:rsid w:val="38CA4E97"/>
    <w:rsid w:val="65B740F0"/>
    <w:rsid w:val="77C1009E"/>
    <w:rsid w:val="78ED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000FF"/>
      <w:u w:val="single"/>
    </w:rPr>
  </w:style>
  <w:style w:type="character" w:customStyle="1" w:styleId="13">
    <w:name w:val="页眉 Char"/>
    <w:basedOn w:val="10"/>
    <w:link w:val="6"/>
    <w:autoRedefine/>
    <w:qFormat/>
    <w:uiPriority w:val="99"/>
    <w:rPr>
      <w:sz w:val="18"/>
      <w:szCs w:val="18"/>
    </w:rPr>
  </w:style>
  <w:style w:type="character" w:customStyle="1" w:styleId="14">
    <w:name w:val="页脚 Char"/>
    <w:basedOn w:val="10"/>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日期 Char"/>
    <w:basedOn w:val="10"/>
    <w:link w:val="3"/>
    <w:autoRedefine/>
    <w:semiHidden/>
    <w:qFormat/>
    <w:uiPriority w:val="99"/>
  </w:style>
  <w:style w:type="character" w:customStyle="1" w:styleId="17">
    <w:name w:val="标题 2 Char"/>
    <w:basedOn w:val="10"/>
    <w:link w:val="2"/>
    <w:autoRedefine/>
    <w:qFormat/>
    <w:uiPriority w:val="9"/>
    <w:rPr>
      <w:rFonts w:asciiTheme="majorHAnsi" w:hAnsiTheme="majorHAnsi" w:eastAsiaTheme="majorEastAsia" w:cstheme="majorBidi"/>
      <w:b/>
      <w:bCs/>
      <w:sz w:val="32"/>
      <w:szCs w:val="32"/>
    </w:rPr>
  </w:style>
  <w:style w:type="character" w:customStyle="1" w:styleId="18">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3584</Words>
  <Characters>3694</Characters>
  <Lines>27</Lines>
  <Paragraphs>7</Paragraphs>
  <TotalTime>46</TotalTime>
  <ScaleCrop>false</ScaleCrop>
  <LinksUpToDate>false</LinksUpToDate>
  <CharactersWithSpaces>3755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2021-10-22T18:22:00Z</dcterms:created>
  <dc:creator>liuq@szicc.net</dc:creator>
  <cp:lastModifiedBy>炫杞</cp:lastModifiedBy>
  <cp:lastPrinted>2021-09-22T02:52:00Z</cp:lastPrinted>
  <dcterms:modified xsi:type="dcterms:W3CDTF">2024-04-18T07:20:17Z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F2B43EF128624628AFC17EB6DC6CA9FD</vt:lpwstr>
  </property>
</Properties>
</file>